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25" w:rsidRPr="00C13425" w:rsidRDefault="00C13425" w:rsidP="00C13425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Техническое задание НА ПРОВЕДЕНИЕ запросА предложений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лоцманскому сопровождению  в обеспечении проведения </w:t>
      </w:r>
      <w:proofErr w:type="spellStart"/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докования</w:t>
      </w:r>
      <w:proofErr w:type="spellEnd"/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 через ТПД Вымпел» с последующей выкаткой на передаточный причал тяжелого стапеля ООО «ССК «Звезда» для нужд Заказчика.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03/22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16.02.2022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г. Большой Камень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5" w:rsidRPr="00C13425" w:rsidRDefault="00C13425" w:rsidP="00C13425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134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Pr="00C1342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34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</w:p>
    <w:p w:rsidR="00C13425" w:rsidRPr="00C13425" w:rsidRDefault="00C13425" w:rsidP="00C13425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C134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закупки</w:t>
      </w:r>
      <w:r w:rsidRPr="00C134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Pr="00C1342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открытая, электронная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5" w:rsidRPr="00C13425" w:rsidRDefault="00C13425" w:rsidP="00C13425">
      <w:pPr>
        <w:numPr>
          <w:ilvl w:val="2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закупки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«Дальневосточный завод «Звезда» (далее – Заказчик) проводит закупку на </w:t>
      </w:r>
      <w:proofErr w:type="spellStart"/>
      <w:proofErr w:type="gramStart"/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лоцманскому сопровождению  в обеспечении проведения </w:t>
      </w:r>
      <w:proofErr w:type="spellStart"/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докования</w:t>
      </w:r>
      <w:proofErr w:type="spellEnd"/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 через ТПД Вымпел» с последующей выкаткой на передаточный причал тяжелого стапеля ООО «ССК «Звезда» для нужд Заказчика, а именно: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2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419"/>
        <w:gridCol w:w="2913"/>
        <w:gridCol w:w="707"/>
        <w:gridCol w:w="973"/>
        <w:gridCol w:w="3876"/>
      </w:tblGrid>
      <w:tr w:rsidR="00C13425" w:rsidRPr="00C13425" w:rsidTr="0011760C">
        <w:trPr>
          <w:trHeight w:val="1224"/>
          <w:jc w:val="center"/>
        </w:trPr>
        <w:tc>
          <w:tcPr>
            <w:tcW w:w="564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9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ОКВЭД-2/ ОКПД-2</w:t>
            </w:r>
          </w:p>
        </w:tc>
        <w:tc>
          <w:tcPr>
            <w:tcW w:w="291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краткие характеристики товара (работ, услуг)</w:t>
            </w:r>
          </w:p>
        </w:tc>
        <w:tc>
          <w:tcPr>
            <w:tcW w:w="70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7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76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C13425" w:rsidRPr="00C13425" w:rsidTr="0011760C">
        <w:trPr>
          <w:trHeight w:val="1681"/>
          <w:jc w:val="center"/>
        </w:trPr>
        <w:tc>
          <w:tcPr>
            <w:tcW w:w="564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 /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52.22.14.110</w:t>
            </w:r>
          </w:p>
        </w:tc>
        <w:tc>
          <w:tcPr>
            <w:tcW w:w="291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лоцманскому сопровождению  в обеспечении проведения </w:t>
            </w:r>
            <w:proofErr w:type="spellStart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докования</w:t>
            </w:r>
            <w:proofErr w:type="spellEnd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 через ТПД Вымпел» с последующей выкаткой на передаточный причал тяжелого стапеля ООО «ССК «Звезда» для нужд</w:t>
            </w:r>
            <w:proofErr w:type="gramStart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усл</w:t>
            </w:r>
            <w:proofErr w:type="spellEnd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973" w:type="dxa"/>
          </w:tcPr>
          <w:p w:rsidR="00C13425" w:rsidRPr="00C13425" w:rsidRDefault="00BB7431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876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условиями договора. Кодексом торгового мореплавания (ФЗ от 30.04.199 №81-ФЗ)</w:t>
            </w:r>
          </w:p>
        </w:tc>
      </w:tr>
      <w:tr w:rsidR="00C13425" w:rsidRPr="00C13425" w:rsidTr="0011760C">
        <w:trPr>
          <w:trHeight w:val="303"/>
          <w:jc w:val="center"/>
        </w:trPr>
        <w:tc>
          <w:tcPr>
            <w:tcW w:w="564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7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425" w:rsidRPr="00C13425" w:rsidRDefault="00C13425" w:rsidP="00C1342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13425" w:rsidRPr="00C13425" w:rsidRDefault="00C13425" w:rsidP="00C1342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2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Начальная максимальная цена</w:t>
      </w:r>
      <w:r w:rsidRPr="00C1342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  <w:r w:rsidRPr="00C13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3 192 000,00</w:t>
      </w:r>
      <w:r w:rsidRPr="00C13425">
        <w:rPr>
          <w:rFonts w:ascii="Times New Roman" w:eastAsia="Calibri" w:hAnsi="Times New Roman" w:cs="Times New Roman"/>
          <w:sz w:val="24"/>
          <w:szCs w:val="24"/>
        </w:rPr>
        <w:t xml:space="preserve">  (три миллиона сто девяносто две тысячи) рублей 00 копеек. Цена лоцманских услуг не облагается НДС в соответствии с пп.23 п.2 ст. 149 Налогового кодекса РФ. </w:t>
      </w:r>
    </w:p>
    <w:p w:rsidR="00C13425" w:rsidRPr="00C13425" w:rsidRDefault="00C13425" w:rsidP="00C1342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 включает в себя расходы на оказание услуг по лоцманскому сопровождению в обеспечении проведения </w:t>
      </w:r>
      <w:proofErr w:type="spellStart"/>
      <w:r w:rsidRPr="00C13425">
        <w:rPr>
          <w:rFonts w:ascii="Times New Roman" w:eastAsia="Calibri" w:hAnsi="Times New Roman" w:cs="Times New Roman"/>
          <w:color w:val="000000"/>
          <w:sz w:val="24"/>
          <w:szCs w:val="24"/>
        </w:rPr>
        <w:t>докования</w:t>
      </w:r>
      <w:proofErr w:type="spellEnd"/>
      <w:r w:rsidRPr="00C13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судов через ТПД «Вымпел» с последующей выкаткой на передаточный причал тяжелого стапеля ООО «ССК «Звезда» для нужд  Заказчика, а также доставка лоцмана с места нахождения к месту оказания услуг и обратно. </w:t>
      </w:r>
    </w:p>
    <w:p w:rsidR="00C13425" w:rsidRPr="00C13425" w:rsidRDefault="00C13425" w:rsidP="00C13425">
      <w:pPr>
        <w:numPr>
          <w:ilvl w:val="2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поставке</w:t>
      </w:r>
      <w:r w:rsidRPr="00C13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товара, выполнению работ, оказанию услуг</w:t>
      </w:r>
    </w:p>
    <w:p w:rsidR="00C13425" w:rsidRPr="00C13425" w:rsidRDefault="00C13425" w:rsidP="00C13425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25" w:rsidRPr="00C13425" w:rsidRDefault="00C13425" w:rsidP="00C13425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  <w:gridCol w:w="141"/>
      </w:tblGrid>
      <w:tr w:rsidR="00C13425" w:rsidRPr="00C13425" w:rsidTr="0011760C">
        <w:tc>
          <w:tcPr>
            <w:tcW w:w="47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vAlign w:val="center"/>
          </w:tcPr>
          <w:tbl>
            <w:tblPr>
              <w:tblStyle w:val="a3"/>
              <w:tblW w:w="90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96"/>
              <w:gridCol w:w="2268"/>
            </w:tblGrid>
            <w:tr w:rsidR="00C13425" w:rsidRPr="00C13425" w:rsidTr="0011760C">
              <w:tc>
                <w:tcPr>
                  <w:tcW w:w="643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13425" w:rsidRPr="00C13425" w:rsidTr="0011760C">
              <w:trPr>
                <w:trHeight w:val="600"/>
              </w:trPr>
              <w:tc>
                <w:tcPr>
                  <w:tcW w:w="643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3425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 xml:space="preserve">Место оказания услуги: Уссурийский залив, бухта Большой Камень, Приморский край, Российская Федерация </w:t>
                  </w:r>
                </w:p>
              </w:tc>
              <w:tc>
                <w:tcPr>
                  <w:tcW w:w="2268" w:type="dxa"/>
                  <w:vMerge w:val="restart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C13425">
                    <w:rPr>
                      <w:sz w:val="24"/>
                      <w:szCs w:val="24"/>
                      <w:shd w:val="pct10" w:color="auto" w:fill="auto"/>
                    </w:rPr>
                    <w:t xml:space="preserve">Письмо о подаче заявки  по Форме 9 (Блок 4 «Образцы </w:t>
                  </w:r>
                  <w:r w:rsidRPr="00C13425">
                    <w:rPr>
                      <w:sz w:val="24"/>
                      <w:szCs w:val="24"/>
                      <w:shd w:val="pct10" w:color="auto" w:fill="auto"/>
                    </w:rPr>
                    <w:lastRenderedPageBreak/>
                    <w:t>форм документов»)</w:t>
                  </w:r>
                </w:p>
              </w:tc>
            </w:tr>
            <w:tr w:rsidR="00C13425" w:rsidRPr="00C13425" w:rsidTr="0011760C">
              <w:trPr>
                <w:trHeight w:val="634"/>
              </w:trPr>
              <w:tc>
                <w:tcPr>
                  <w:tcW w:w="643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3425">
                    <w:rPr>
                      <w:b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6096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Условия оказания услуги: Согласно проекту договора, а также техническому заданию (приложение №1)</w:t>
                  </w:r>
                </w:p>
              </w:tc>
              <w:tc>
                <w:tcPr>
                  <w:tcW w:w="2268" w:type="dxa"/>
                  <w:vMerge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C13425" w:rsidRPr="00C13425" w:rsidTr="0011760C">
              <w:trPr>
                <w:trHeight w:val="474"/>
              </w:trPr>
              <w:tc>
                <w:tcPr>
                  <w:tcW w:w="643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3425">
                    <w:rPr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6096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bCs/>
                      <w:sz w:val="24"/>
                      <w:szCs w:val="24"/>
                    </w:rPr>
                    <w:t>Срок</w:t>
                  </w:r>
                  <w:r w:rsidRPr="00C1342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13425">
                    <w:rPr>
                      <w:bCs/>
                      <w:sz w:val="24"/>
                      <w:szCs w:val="24"/>
                    </w:rPr>
                    <w:t xml:space="preserve">оказание услуги: </w:t>
                  </w:r>
                  <w:proofErr w:type="gramStart"/>
                  <w:r w:rsidRPr="00C13425">
                    <w:rPr>
                      <w:bCs/>
                      <w:sz w:val="24"/>
                      <w:szCs w:val="24"/>
                    </w:rPr>
                    <w:t>согласно заявок</w:t>
                  </w:r>
                  <w:proofErr w:type="gramEnd"/>
                  <w:r w:rsidRPr="00C13425">
                    <w:rPr>
                      <w:bCs/>
                      <w:sz w:val="24"/>
                      <w:szCs w:val="24"/>
                    </w:rPr>
                    <w:t xml:space="preserve"> Заказчика</w:t>
                  </w:r>
                </w:p>
              </w:tc>
              <w:tc>
                <w:tcPr>
                  <w:tcW w:w="2268" w:type="dxa"/>
                  <w:vMerge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C13425" w:rsidRPr="00C13425" w:rsidTr="0011760C">
              <w:trPr>
                <w:trHeight w:val="331"/>
              </w:trPr>
              <w:tc>
                <w:tcPr>
                  <w:tcW w:w="643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3425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96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ind w:firstLine="34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bCs/>
                      <w:sz w:val="24"/>
                      <w:szCs w:val="24"/>
                    </w:rPr>
                    <w:t>Условия оплаты:</w:t>
                  </w:r>
                  <w:r w:rsidRPr="00C13425">
                    <w:rPr>
                      <w:sz w:val="24"/>
                      <w:szCs w:val="24"/>
                    </w:rPr>
                    <w:t xml:space="preserve"> </w:t>
                  </w:r>
                </w:p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 xml:space="preserve"> </w:t>
                  </w:r>
                  <w:r w:rsidRPr="00C13425">
                    <w:rPr>
                      <w:bCs/>
                      <w:sz w:val="24"/>
                      <w:szCs w:val="24"/>
                    </w:rPr>
                    <w:t>Оплата услуг по настоящему Договору производится в следующем порядке:</w:t>
                  </w:r>
                </w:p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C13425">
                    <w:rPr>
                      <w:sz w:val="24"/>
                      <w:szCs w:val="28"/>
                    </w:rPr>
                    <w:t>Оплата услуг производится Заказчиком на основании выставленного счета в объеме каждой заявки в следующем порядке: платеж в размере 100 % производится по факту оказания услуг, заявленных Заказчиком,</w:t>
                  </w:r>
                  <w:r w:rsidRPr="00C13425">
                    <w:rPr>
                      <w:rFonts w:eastAsia="Calibri"/>
                      <w:sz w:val="24"/>
                      <w:szCs w:val="28"/>
                    </w:rPr>
                    <w:t xml:space="preserve"> </w:t>
                  </w:r>
                  <w:r w:rsidRPr="00C13425">
                    <w:rPr>
                      <w:rFonts w:eastAsia="Calibri"/>
                      <w:sz w:val="24"/>
                      <w:szCs w:val="24"/>
                    </w:rPr>
                    <w:t>не ранее чем через 45 (сорок пять) календарных дней/ либо не более 15 рабочих дней (в случае заключения договора по результатам закупки с субъектами малого и среднего предпринимательства), но не позднее 60 (шестидесяти) календарных</w:t>
                  </w:r>
                  <w:proofErr w:type="gramEnd"/>
                  <w:r w:rsidRPr="00C13425">
                    <w:rPr>
                      <w:rFonts w:eastAsia="Calibri"/>
                      <w:sz w:val="24"/>
                      <w:szCs w:val="24"/>
                    </w:rPr>
                    <w:t xml:space="preserve"> дней, </w:t>
                  </w:r>
                  <w:r w:rsidRPr="00C13425">
                    <w:rPr>
                      <w:sz w:val="24"/>
                      <w:szCs w:val="24"/>
                    </w:rPr>
                    <w:t xml:space="preserve">с момента предоставления Лоцманом в адрес Заказчика оригинала счета и подписанного акта оказания лоцманских услуг с </w:t>
                  </w:r>
                  <w:proofErr w:type="gramStart"/>
                  <w:r w:rsidRPr="00C13425">
                    <w:rPr>
                      <w:sz w:val="24"/>
                      <w:szCs w:val="24"/>
                    </w:rPr>
                    <w:t>обоих</w:t>
                  </w:r>
                  <w:proofErr w:type="gramEnd"/>
                  <w:r w:rsidRPr="00C13425">
                    <w:rPr>
                      <w:sz w:val="24"/>
                      <w:szCs w:val="24"/>
                    </w:rPr>
                    <w:t xml:space="preserve"> сторон, в зависимости от того, какое из указанных событий наступит позднее.</w:t>
                  </w:r>
                  <w:r w:rsidRPr="00C13425">
                    <w:rPr>
                      <w:rFonts w:eastAsia="Calibri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  <w:vMerge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13425" w:rsidRPr="00C13425" w:rsidTr="0011760C">
        <w:tc>
          <w:tcPr>
            <w:tcW w:w="47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vAlign w:val="center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noProof/>
                <w:sz w:val="24"/>
                <w:szCs w:val="24"/>
              </w:rPr>
            </w:pP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C13425">
              <w:rPr>
                <w:noProof/>
                <w:sz w:val="24"/>
                <w:szCs w:val="24"/>
              </w:rPr>
              <w:t xml:space="preserve">2.2 </w:t>
            </w:r>
            <w:r w:rsidRPr="00C13425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3"/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13425" w:rsidRPr="00C13425" w:rsidTr="0011760C">
              <w:tc>
                <w:tcPr>
                  <w:tcW w:w="470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13425" w:rsidRPr="00C13425" w:rsidTr="0011760C">
              <w:tc>
                <w:tcPr>
                  <w:tcW w:w="470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C13425">
                    <w:rPr>
                      <w:i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8"/>
                    </w:rPr>
                  </w:pPr>
                  <w:r w:rsidRPr="00C13425">
                    <w:rPr>
                      <w:sz w:val="24"/>
                      <w:szCs w:val="24"/>
                    </w:rPr>
                    <w:t xml:space="preserve">- наличие в штате лоцманов, имеющих удостоверение с разрешением осуществлять лоцманскую проводку в </w:t>
                  </w:r>
                  <w:proofErr w:type="gramStart"/>
                  <w:r w:rsidRPr="00C13425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C13425">
                    <w:rPr>
                      <w:sz w:val="24"/>
                      <w:szCs w:val="24"/>
                    </w:rPr>
                    <w:t xml:space="preserve">/п Большой Камень. Срок действия лоцманского удостоверения до 31.12.2022.   </w:t>
                  </w:r>
                </w:p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before="40" w:after="40"/>
                    <w:ind w:right="57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C13425">
                    <w:rPr>
                      <w:i/>
                      <w:sz w:val="24"/>
                      <w:szCs w:val="24"/>
                    </w:rPr>
                    <w:t xml:space="preserve">Участник закупки предоставляет копии документов, подтверждающие трудовые отношения с работником ( копии трудовых книжек или приказы о назначении, или копии трудовых договоров), копии лоцманского удостоверения с указанием района осуществления лоцманской проводки или копию распоряжения капитана морского порта г. Владивосток о разрешении осуществления лоцманской проводки в </w:t>
                  </w:r>
                  <w:proofErr w:type="gramStart"/>
                  <w:r w:rsidRPr="00C13425">
                    <w:rPr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C13425">
                    <w:rPr>
                      <w:i/>
                      <w:sz w:val="24"/>
                      <w:szCs w:val="24"/>
                    </w:rPr>
                    <w:t xml:space="preserve">/п Большой Камен в составе заявки на торговой площадке. </w:t>
                  </w:r>
                </w:p>
              </w:tc>
            </w:tr>
          </w:tbl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13425" w:rsidRPr="00C13425" w:rsidTr="0011760C">
        <w:trPr>
          <w:gridAfter w:val="1"/>
          <w:wAfter w:w="141" w:type="dxa"/>
        </w:trPr>
        <w:tc>
          <w:tcPr>
            <w:tcW w:w="47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C13425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C13425">
              <w:rPr>
                <w:sz w:val="24"/>
                <w:szCs w:val="24"/>
              </w:rPr>
              <w:t>шеф-монтаж</w:t>
            </w:r>
            <w:proofErr w:type="gramEnd"/>
            <w:r w:rsidRPr="00C13425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3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13425" w:rsidRPr="00C13425" w:rsidTr="0011760C">
              <w:tc>
                <w:tcPr>
                  <w:tcW w:w="470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13425" w:rsidRPr="00C13425" w:rsidTr="0011760C">
              <w:tc>
                <w:tcPr>
                  <w:tcW w:w="470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C13425">
                    <w:rPr>
                      <w:i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Отсутствует</w:t>
                  </w:r>
                </w:p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13425" w:rsidRPr="00C13425" w:rsidTr="0011760C">
        <w:trPr>
          <w:gridAfter w:val="1"/>
          <w:wAfter w:w="141" w:type="dxa"/>
        </w:trPr>
        <w:tc>
          <w:tcPr>
            <w:tcW w:w="47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C13425">
              <w:rPr>
                <w:sz w:val="24"/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a3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13425" w:rsidRPr="00C13425" w:rsidTr="0011760C">
              <w:tc>
                <w:tcPr>
                  <w:tcW w:w="470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C13425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13425" w:rsidRPr="00C13425" w:rsidTr="0011760C">
              <w:tc>
                <w:tcPr>
                  <w:tcW w:w="470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C13425">
                    <w:rPr>
                      <w:i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C13425">
                    <w:rPr>
                      <w:i/>
                      <w:sz w:val="24"/>
                      <w:szCs w:val="24"/>
                      <w:shd w:val="pct10" w:color="auto" w:fill="auto"/>
                    </w:rPr>
                    <w:t xml:space="preserve">Отсутствуют </w:t>
                  </w:r>
                </w:p>
              </w:tc>
              <w:tc>
                <w:tcPr>
                  <w:tcW w:w="4395" w:type="dxa"/>
                </w:tcPr>
                <w:p w:rsidR="00C13425" w:rsidRPr="00C13425" w:rsidRDefault="00C13425" w:rsidP="00C13425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13425">
                    <w:rPr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13425" w:rsidRPr="00C13425" w:rsidTr="0011760C">
        <w:trPr>
          <w:gridAfter w:val="1"/>
          <w:wAfter w:w="141" w:type="dxa"/>
        </w:trPr>
        <w:tc>
          <w:tcPr>
            <w:tcW w:w="47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Общие требования к участникам закупки: отсутствуют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25" w:rsidRPr="00C13425" w:rsidRDefault="00C13425" w:rsidP="00C13425">
      <w:pPr>
        <w:numPr>
          <w:ilvl w:val="2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субподрядчикам (соисполнителям) (если применимо): 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25" w:rsidRPr="00C13425" w:rsidRDefault="00C13425" w:rsidP="00C13425">
      <w:pPr>
        <w:numPr>
          <w:ilvl w:val="2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параметры технического задания: 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5" w:rsidRPr="00C13425" w:rsidRDefault="00C13425" w:rsidP="00C13425">
      <w:pPr>
        <w:numPr>
          <w:ilvl w:val="2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техническому заданию (если применимо):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включает в себя приложение №1, являющиеся неотъемлемой частью Документации.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3425" w:rsidRPr="00C13425" w:rsidRDefault="00C13425" w:rsidP="00C13425">
      <w:pPr>
        <w:numPr>
          <w:ilvl w:val="2"/>
          <w:numId w:val="5"/>
        </w:numPr>
        <w:tabs>
          <w:tab w:val="num" w:pos="567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Форма, размер и порядок предоставления обеспечения заявок на участие в процедуре закупки – 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25" w:rsidRPr="00C13425" w:rsidRDefault="00C13425" w:rsidP="00C13425">
      <w:pPr>
        <w:numPr>
          <w:ilvl w:val="2"/>
          <w:numId w:val="5"/>
        </w:numPr>
        <w:tabs>
          <w:tab w:val="num" w:pos="567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Форма, размер и порядок предоставления обеспечения исполнения договора -  </w:t>
      </w:r>
      <w:r w:rsidRPr="00C13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C13425" w:rsidRPr="00C13425" w:rsidRDefault="00C13425" w:rsidP="00C13425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5" w:rsidRPr="00C13425" w:rsidRDefault="00C13425" w:rsidP="00C13425">
      <w:pPr>
        <w:numPr>
          <w:ilvl w:val="2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2"/>
        <w:gridCol w:w="2523"/>
        <w:gridCol w:w="6631"/>
      </w:tblGrid>
      <w:tr w:rsidR="00C13425" w:rsidRPr="00C13425" w:rsidTr="0011760C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bookmarkStart w:id="1" w:name="_Toc342986378"/>
            <w:bookmarkStart w:id="2" w:name="_Toc342986425"/>
            <w:bookmarkStart w:id="3" w:name="_Toc342986555"/>
            <w:bookmarkStart w:id="4" w:name="_Toc342986602"/>
            <w:bookmarkStart w:id="5" w:name="_Toc342986648"/>
            <w:bookmarkEnd w:id="1"/>
            <w:bookmarkEnd w:id="2"/>
            <w:bookmarkEnd w:id="3"/>
            <w:bookmarkEnd w:id="4"/>
            <w:bookmarkEnd w:id="5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Контактная информация </w:t>
            </w:r>
          </w:p>
        </w:tc>
      </w:tr>
      <w:tr w:rsidR="00C13425" w:rsidRPr="00C13425" w:rsidTr="0011760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13425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proofErr w:type="spellStart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Баглай</w:t>
            </w:r>
            <w:proofErr w:type="spellEnd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Дмитрий Александрович</w:t>
            </w:r>
          </w:p>
        </w:tc>
      </w:tr>
      <w:tr w:rsidR="00C13425" w:rsidRPr="00BB7431" w:rsidTr="0011760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e-mail: Baglay_dvzz.ru</w:t>
            </w:r>
          </w:p>
        </w:tc>
      </w:tr>
      <w:tr w:rsidR="00C13425" w:rsidRPr="00C13425" w:rsidTr="0011760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8 (42335) 5-11-40  доб. 37-14..  </w:t>
            </w: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8-914-071-82-48</w:t>
            </w:r>
          </w:p>
        </w:tc>
      </w:tr>
      <w:tr w:rsidR="00C13425" w:rsidRPr="00C13425" w:rsidTr="0011760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8 (42335) 5-13-05 </w:t>
            </w:r>
          </w:p>
        </w:tc>
      </w:tr>
      <w:tr w:rsidR="00C13425" w:rsidRPr="00C13425" w:rsidTr="0011760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«Дальневосточный завод «Звезда»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692801, Россия, Приморский край, г. Большой Камень, ул. Степана Лебедева, здание 1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</w:pPr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очта: </w:t>
            </w:r>
            <w:r w:rsidRPr="00C134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dvzzvezda@dvzz.ru</w:t>
            </w:r>
            <w:r w:rsidRPr="00C13425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shd w:val="pct10" w:color="auto" w:fill="auto"/>
                <w:lang w:eastAsia="ru-RU"/>
              </w:rPr>
              <w:t xml:space="preserve"> </w:t>
            </w:r>
          </w:p>
        </w:tc>
      </w:tr>
    </w:tbl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5" w:rsidRPr="00C13425" w:rsidRDefault="00C13425" w:rsidP="00C13425">
      <w:pPr>
        <w:tabs>
          <w:tab w:val="left" w:pos="1134"/>
          <w:tab w:val="left" w:pos="6870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425" w:rsidRPr="00C13425" w:rsidRDefault="00C13425" w:rsidP="00C134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13425" w:rsidRPr="00C13425" w:rsidRDefault="00C13425" w:rsidP="00C13425">
      <w:pPr>
        <w:tabs>
          <w:tab w:val="left" w:pos="1134"/>
          <w:tab w:val="left" w:pos="6870"/>
        </w:tabs>
        <w:kinsoku w:val="0"/>
        <w:overflowPunct w:val="0"/>
        <w:autoSpaceDE w:val="0"/>
        <w:autoSpaceDN w:val="0"/>
        <w:spacing w:after="0" w:line="288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425" w:rsidRPr="00C13425" w:rsidRDefault="00C13425" w:rsidP="00C13425">
      <w:pPr>
        <w:tabs>
          <w:tab w:val="left" w:pos="1134"/>
          <w:tab w:val="left" w:pos="6870"/>
        </w:tabs>
        <w:kinsoku w:val="0"/>
        <w:overflowPunct w:val="0"/>
        <w:autoSpaceDE w:val="0"/>
        <w:autoSpaceDN w:val="0"/>
        <w:spacing w:after="0" w:line="288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№1 </w:t>
      </w:r>
    </w:p>
    <w:p w:rsidR="00C13425" w:rsidRPr="00C13425" w:rsidRDefault="00C13425" w:rsidP="00C13425">
      <w:pPr>
        <w:tabs>
          <w:tab w:val="left" w:pos="1134"/>
          <w:tab w:val="left" w:pos="6870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425" w:rsidRPr="00C13425" w:rsidRDefault="00C13425" w:rsidP="00C13425">
      <w:pPr>
        <w:tabs>
          <w:tab w:val="left" w:pos="1134"/>
          <w:tab w:val="left" w:pos="6870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425" w:rsidRPr="00C13425" w:rsidRDefault="00C13425" w:rsidP="00C13425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Техническое задание </w:t>
      </w:r>
    </w:p>
    <w:p w:rsidR="00C13425" w:rsidRPr="00C13425" w:rsidRDefault="00C13425" w:rsidP="00C13425">
      <w:pPr>
        <w:spacing w:after="0" w:line="288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szCs w:val="24"/>
          <w:lang w:eastAsia="ru-RU"/>
        </w:rPr>
        <w:t xml:space="preserve">на оказание услуг по </w:t>
      </w:r>
      <w:r w:rsidRPr="00C1342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лоцманскому сопровождению в обеспечении проведения </w:t>
      </w:r>
      <w:proofErr w:type="spellStart"/>
      <w:r w:rsidRPr="00C1342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докования</w:t>
      </w:r>
      <w:proofErr w:type="spellEnd"/>
      <w:r w:rsidRPr="00C1342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судов через ТПД «Вымпел» с последующей</w:t>
      </w:r>
      <w:r w:rsidRPr="00C13425">
        <w:rPr>
          <w:rFonts w:ascii="Times New Roman" w:eastAsia="Times New Roman" w:hAnsi="Times New Roman" w:cs="Times New Roman"/>
          <w:szCs w:val="24"/>
          <w:lang w:eastAsia="ru-RU"/>
        </w:rPr>
        <w:t xml:space="preserve"> выкаткой  на передаточный причал тяжелого стапеля ООО «ССК Звезда»</w:t>
      </w:r>
      <w:r w:rsidRPr="00C1342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для нужд  АО «ДВЗ «Звезда»</w:t>
      </w:r>
      <w:r w:rsidRPr="00C1342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13425" w:rsidRPr="00C13425" w:rsidRDefault="00C13425" w:rsidP="00C13425">
      <w:pPr>
        <w:spacing w:after="0" w:line="288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13425" w:rsidRPr="00C13425" w:rsidRDefault="00C13425" w:rsidP="00C13425">
      <w:pPr>
        <w:spacing w:after="0" w:line="288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13425" w:rsidRPr="00C13425" w:rsidRDefault="00C13425" w:rsidP="00C13425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13425" w:rsidRPr="00C13425" w:rsidRDefault="00C13425" w:rsidP="00C13425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13425">
        <w:rPr>
          <w:rFonts w:ascii="Times New Roman" w:eastAsia="Times New Roman" w:hAnsi="Times New Roman" w:cs="Times New Roman"/>
          <w:szCs w:val="24"/>
          <w:lang w:eastAsia="ru-RU"/>
        </w:rPr>
        <w:t>Заказчик: АО "ДВЗ "Звезда"</w:t>
      </w: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37"/>
        <w:gridCol w:w="3723"/>
        <w:gridCol w:w="4911"/>
      </w:tblGrid>
      <w:tr w:rsidR="00C13425" w:rsidRPr="00C13425" w:rsidTr="0011760C">
        <w:trPr>
          <w:tblHeader/>
        </w:trPr>
        <w:tc>
          <w:tcPr>
            <w:tcW w:w="93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 xml:space="preserve">№ </w:t>
            </w:r>
            <w:proofErr w:type="gramStart"/>
            <w:r w:rsidRPr="00C13425">
              <w:rPr>
                <w:szCs w:val="24"/>
              </w:rPr>
              <w:t>п</w:t>
            </w:r>
            <w:proofErr w:type="gramEnd"/>
            <w:r w:rsidRPr="00C13425">
              <w:rPr>
                <w:szCs w:val="24"/>
              </w:rPr>
              <w:t>/п</w:t>
            </w:r>
          </w:p>
        </w:tc>
        <w:tc>
          <w:tcPr>
            <w:tcW w:w="372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 xml:space="preserve">Наименование 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Технические требования</w:t>
            </w:r>
          </w:p>
        </w:tc>
      </w:tr>
      <w:tr w:rsidR="00C13425" w:rsidRPr="00C13425" w:rsidTr="0011760C">
        <w:tc>
          <w:tcPr>
            <w:tcW w:w="93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1</w:t>
            </w:r>
          </w:p>
        </w:tc>
        <w:tc>
          <w:tcPr>
            <w:tcW w:w="372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Количество доковых операций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2</w:t>
            </w:r>
          </w:p>
        </w:tc>
      </w:tr>
      <w:tr w:rsidR="00C13425" w:rsidRPr="00C13425" w:rsidTr="0011760C">
        <w:tc>
          <w:tcPr>
            <w:tcW w:w="93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  <w:lang w:val="en-US"/>
              </w:rPr>
            </w:pPr>
            <w:r w:rsidRPr="00C13425">
              <w:rPr>
                <w:szCs w:val="24"/>
                <w:lang w:val="en-US"/>
              </w:rPr>
              <w:t>2</w:t>
            </w:r>
          </w:p>
        </w:tc>
        <w:tc>
          <w:tcPr>
            <w:tcW w:w="372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Квалификация и количество привлекаемых лоцманов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szCs w:val="24"/>
              </w:rPr>
            </w:pPr>
            <w:proofErr w:type="gramStart"/>
            <w:r w:rsidRPr="00C13425">
              <w:rPr>
                <w:szCs w:val="24"/>
              </w:rPr>
              <w:t xml:space="preserve">Количество лоцманов – 2 ед. имеющие соответствующие разрешение на работы в указанном районе. </w:t>
            </w:r>
            <w:proofErr w:type="gramEnd"/>
          </w:p>
        </w:tc>
      </w:tr>
      <w:tr w:rsidR="00C13425" w:rsidRPr="00C13425" w:rsidTr="0011760C">
        <w:tc>
          <w:tcPr>
            <w:tcW w:w="93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  <w:lang w:val="en-US"/>
              </w:rPr>
            </w:pPr>
            <w:r w:rsidRPr="00C13425">
              <w:rPr>
                <w:szCs w:val="24"/>
                <w:lang w:val="en-US"/>
              </w:rPr>
              <w:t>3</w:t>
            </w:r>
          </w:p>
        </w:tc>
        <w:tc>
          <w:tcPr>
            <w:tcW w:w="372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Режим работы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Круглосуточный</w:t>
            </w:r>
          </w:p>
        </w:tc>
      </w:tr>
      <w:tr w:rsidR="00C13425" w:rsidRPr="00C13425" w:rsidTr="0011760C">
        <w:tc>
          <w:tcPr>
            <w:tcW w:w="93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  <w:lang w:val="en-US"/>
              </w:rPr>
            </w:pPr>
            <w:r w:rsidRPr="00C13425">
              <w:rPr>
                <w:szCs w:val="24"/>
                <w:lang w:val="en-US"/>
              </w:rPr>
              <w:t>4</w:t>
            </w:r>
          </w:p>
        </w:tc>
        <w:tc>
          <w:tcPr>
            <w:tcW w:w="372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 xml:space="preserve">Характеристика баржи с грузом 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  <w:lang w:val="en-US"/>
              </w:rPr>
              <w:t>L</w:t>
            </w:r>
            <w:r w:rsidRPr="00C13425">
              <w:rPr>
                <w:color w:val="000000"/>
              </w:rPr>
              <w:t>- 79,4 м – длина наибольшая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  <w:lang w:val="en-US"/>
              </w:rPr>
              <w:t>B</w:t>
            </w:r>
            <w:r w:rsidRPr="00C13425">
              <w:rPr>
                <w:color w:val="000000"/>
              </w:rPr>
              <w:t xml:space="preserve">- 15 м – ширина наибольшая 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</w:rPr>
              <w:t>Осадка – 2 м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</w:rPr>
              <w:t>Груз:  масса = 760 т – блок понтона №12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</w:rPr>
              <w:t>Груз:  масса  =   820 т. блок понтон № 13</w:t>
            </w:r>
          </w:p>
        </w:tc>
      </w:tr>
      <w:tr w:rsidR="00C13425" w:rsidRPr="00C13425" w:rsidTr="0011760C">
        <w:tc>
          <w:tcPr>
            <w:tcW w:w="937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  <w:lang w:val="en-US"/>
              </w:rPr>
            </w:pPr>
            <w:r w:rsidRPr="00C13425">
              <w:rPr>
                <w:szCs w:val="24"/>
                <w:lang w:val="en-US"/>
              </w:rPr>
              <w:t>5</w:t>
            </w:r>
          </w:p>
        </w:tc>
        <w:tc>
          <w:tcPr>
            <w:tcW w:w="3723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Характеристика ТПД «Вымпел»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</w:rPr>
              <w:t xml:space="preserve"> 287, 3 м – длина наибольшая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</w:rPr>
              <w:t xml:space="preserve">65,34 - ширина габаритная 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</w:rPr>
              <w:t>29 м – высота борта</w:t>
            </w:r>
          </w:p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color w:val="000000"/>
              </w:rPr>
            </w:pPr>
            <w:r w:rsidRPr="00C13425">
              <w:rPr>
                <w:color w:val="000000"/>
              </w:rPr>
              <w:t>12 м - осадка</w:t>
            </w:r>
          </w:p>
        </w:tc>
      </w:tr>
      <w:tr w:rsidR="00C13425" w:rsidRPr="00C13425" w:rsidTr="0011760C">
        <w:tc>
          <w:tcPr>
            <w:tcW w:w="937" w:type="dxa"/>
            <w:vMerge w:val="restart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  <w:lang w:val="en-US"/>
              </w:rPr>
            </w:pPr>
            <w:r w:rsidRPr="00C13425">
              <w:rPr>
                <w:szCs w:val="24"/>
                <w:lang w:val="en-US"/>
              </w:rPr>
              <w:t>6</w:t>
            </w:r>
          </w:p>
        </w:tc>
        <w:tc>
          <w:tcPr>
            <w:tcW w:w="3723" w:type="dxa"/>
            <w:vMerge w:val="restart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 xml:space="preserve">Этапы проведения 1 доковой операции 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Наименование мероприятия по обеспечению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 xml:space="preserve">1сутки 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i/>
                <w:szCs w:val="24"/>
              </w:rPr>
            </w:pPr>
            <w:r w:rsidRPr="00C13425">
              <w:rPr>
                <w:color w:val="000000"/>
              </w:rPr>
              <w:t>Постановка ТПД "Вымпел" на котлован погружения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Раскрепление на котловане, центровка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Погружение на расчетную осадку под прием баржи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2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proofErr w:type="gramStart"/>
            <w:r w:rsidRPr="00C13425">
              <w:rPr>
                <w:color w:val="000000"/>
              </w:rPr>
              <w:t>Заводка</w:t>
            </w:r>
            <w:proofErr w:type="gramEnd"/>
            <w:r w:rsidRPr="00C13425">
              <w:rPr>
                <w:color w:val="000000"/>
              </w:rPr>
              <w:t xml:space="preserve"> баржи в док, центровка над стапелем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Всплытие дока с баржей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 xml:space="preserve">Переход дока во </w:t>
            </w:r>
            <w:proofErr w:type="spellStart"/>
            <w:r w:rsidRPr="00C13425">
              <w:rPr>
                <w:color w:val="000000"/>
              </w:rPr>
              <w:t>всплытом</w:t>
            </w:r>
            <w:proofErr w:type="spellEnd"/>
            <w:r w:rsidRPr="00C13425">
              <w:rPr>
                <w:color w:val="000000"/>
              </w:rPr>
              <w:t xml:space="preserve"> состоянии к 3-й стапельной линии 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Установка переходных балок, трапов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3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Выкатка баржи из дока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Выгрузка блока "</w:t>
            </w:r>
            <w:proofErr w:type="spellStart"/>
            <w:r w:rsidRPr="00C13425">
              <w:rPr>
                <w:color w:val="000000"/>
              </w:rPr>
              <w:t>Голеафом</w:t>
            </w:r>
            <w:proofErr w:type="spellEnd"/>
            <w:r w:rsidRPr="00C13425">
              <w:rPr>
                <w:color w:val="000000"/>
              </w:rPr>
              <w:t>"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Закатка баржи в док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4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Демонтаж переходных балок, трапов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 xml:space="preserve">Переход дока во </w:t>
            </w:r>
            <w:proofErr w:type="spellStart"/>
            <w:r w:rsidRPr="00C13425">
              <w:rPr>
                <w:color w:val="000000"/>
              </w:rPr>
              <w:t>всплытом</w:t>
            </w:r>
            <w:proofErr w:type="spellEnd"/>
            <w:r w:rsidRPr="00C13425">
              <w:rPr>
                <w:color w:val="000000"/>
              </w:rPr>
              <w:t xml:space="preserve"> состоянии от 3-й стапельной линии на котлован погружения 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Погружение дока с баржей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Вывод  баржи из дока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5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Всплытие ТПД "Вымпел»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Снятие ТПД "Вымпел" с котлована погружений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Переход ТПД "Вымпел" к месту стоянки</w:t>
            </w:r>
          </w:p>
        </w:tc>
      </w:tr>
      <w:tr w:rsidR="00C13425" w:rsidRPr="00C13425" w:rsidTr="0011760C">
        <w:tc>
          <w:tcPr>
            <w:tcW w:w="937" w:type="dxa"/>
            <w:vMerge w:val="restart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  <w:lang w:val="en-US"/>
              </w:rPr>
            </w:pPr>
            <w:r w:rsidRPr="00C13425">
              <w:rPr>
                <w:szCs w:val="24"/>
                <w:lang w:val="en-US"/>
              </w:rPr>
              <w:t>7</w:t>
            </w:r>
          </w:p>
        </w:tc>
        <w:tc>
          <w:tcPr>
            <w:tcW w:w="3723" w:type="dxa"/>
            <w:vMerge w:val="restart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 xml:space="preserve">Этапы проведения 2 доковой операции </w:t>
            </w: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Наименование мероприятия по обеспечению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 xml:space="preserve">1сутки 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i/>
                <w:szCs w:val="24"/>
              </w:rPr>
            </w:pPr>
            <w:r w:rsidRPr="00C13425">
              <w:rPr>
                <w:color w:val="000000"/>
              </w:rPr>
              <w:t>Постановка ТПД "Вымпел" на котлован погружения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Раскрепление на котловане, центровка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Погружение на расчетную осадку под прием баржи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2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proofErr w:type="gramStart"/>
            <w:r w:rsidRPr="00C13425">
              <w:rPr>
                <w:color w:val="000000"/>
              </w:rPr>
              <w:t>Заводка</w:t>
            </w:r>
            <w:proofErr w:type="gramEnd"/>
            <w:r w:rsidRPr="00C13425">
              <w:rPr>
                <w:color w:val="000000"/>
              </w:rPr>
              <w:t xml:space="preserve"> баржи в док, центровка над стапелем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Всплытие дока с баржей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 xml:space="preserve">Переход дока во </w:t>
            </w:r>
            <w:proofErr w:type="spellStart"/>
            <w:r w:rsidRPr="00C13425">
              <w:rPr>
                <w:color w:val="000000"/>
              </w:rPr>
              <w:t>всплытом</w:t>
            </w:r>
            <w:proofErr w:type="spellEnd"/>
            <w:r w:rsidRPr="00C13425">
              <w:rPr>
                <w:color w:val="000000"/>
              </w:rPr>
              <w:t xml:space="preserve"> состоянии к 3-й стапельной линии 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Установка переходных балок, трапов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3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Выкатка баржи из дока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Выгрузка блока "</w:t>
            </w:r>
            <w:proofErr w:type="spellStart"/>
            <w:r w:rsidRPr="00C13425">
              <w:rPr>
                <w:color w:val="000000"/>
              </w:rPr>
              <w:t>Голеафом</w:t>
            </w:r>
            <w:proofErr w:type="spellEnd"/>
            <w:r w:rsidRPr="00C13425">
              <w:rPr>
                <w:color w:val="000000"/>
              </w:rPr>
              <w:t>"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Закатка баржи в док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4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Демонтаж переходных балок, трапов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 xml:space="preserve">Переход дока во </w:t>
            </w:r>
            <w:proofErr w:type="spellStart"/>
            <w:r w:rsidRPr="00C13425">
              <w:rPr>
                <w:color w:val="000000"/>
              </w:rPr>
              <w:t>всплытом</w:t>
            </w:r>
            <w:proofErr w:type="spellEnd"/>
            <w:r w:rsidRPr="00C13425">
              <w:rPr>
                <w:color w:val="000000"/>
              </w:rPr>
              <w:t xml:space="preserve"> состоянии от 3-й стапельной линии на котлован погружения 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Погружение дока с баржей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Вывод  баржи из дока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szCs w:val="24"/>
              </w:rPr>
              <w:t>5 сутки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Всплытие ТПД "Вымпел»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Снятие ТПД "Вымпел" с котлована погружений</w:t>
            </w:r>
          </w:p>
        </w:tc>
      </w:tr>
      <w:tr w:rsidR="00C13425" w:rsidRPr="00C13425" w:rsidTr="0011760C">
        <w:tc>
          <w:tcPr>
            <w:tcW w:w="937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3723" w:type="dxa"/>
            <w:vMerge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911" w:type="dxa"/>
          </w:tcPr>
          <w:p w:rsidR="00C13425" w:rsidRPr="00C13425" w:rsidRDefault="00C13425" w:rsidP="00C1342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Cs w:val="24"/>
              </w:rPr>
            </w:pPr>
            <w:r w:rsidRPr="00C13425">
              <w:rPr>
                <w:color w:val="000000"/>
              </w:rPr>
              <w:t>Переход ТПД "Вымпел" к месту стоянки</w:t>
            </w:r>
          </w:p>
        </w:tc>
      </w:tr>
    </w:tbl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13425" w:rsidRPr="00C13425" w:rsidRDefault="00C13425" w:rsidP="00C13425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13425" w:rsidRPr="00C13425" w:rsidRDefault="00C13425" w:rsidP="00C13425">
      <w:pPr>
        <w:tabs>
          <w:tab w:val="left" w:pos="1134"/>
          <w:tab w:val="left" w:pos="6870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5BC7" w:rsidRPr="00C13425" w:rsidRDefault="00B65BC7" w:rsidP="00C13425"/>
    <w:sectPr w:rsidR="00B65BC7" w:rsidRPr="00C13425" w:rsidSect="008F39C4">
      <w:pgSz w:w="11907" w:h="16840" w:code="9"/>
      <w:pgMar w:top="567" w:right="567" w:bottom="284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98" w:rsidRDefault="005A6798" w:rsidP="003159B9">
      <w:pPr>
        <w:spacing w:after="0" w:line="240" w:lineRule="auto"/>
      </w:pPr>
      <w:r>
        <w:separator/>
      </w:r>
    </w:p>
  </w:endnote>
  <w:endnote w:type="continuationSeparator" w:id="0">
    <w:p w:rsidR="005A6798" w:rsidRDefault="005A6798" w:rsidP="0031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98" w:rsidRDefault="005A6798" w:rsidP="003159B9">
      <w:pPr>
        <w:spacing w:after="0" w:line="240" w:lineRule="auto"/>
      </w:pPr>
      <w:r>
        <w:separator/>
      </w:r>
    </w:p>
  </w:footnote>
  <w:footnote w:type="continuationSeparator" w:id="0">
    <w:p w:rsidR="005A6798" w:rsidRDefault="005A6798" w:rsidP="0031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263E"/>
    <w:multiLevelType w:val="hybridMultilevel"/>
    <w:tmpl w:val="1C72A680"/>
    <w:lvl w:ilvl="0" w:tplc="CD9C5E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>
    <w:nsid w:val="69BC2097"/>
    <w:multiLevelType w:val="hybridMultilevel"/>
    <w:tmpl w:val="CB4EE61E"/>
    <w:lvl w:ilvl="0" w:tplc="30FEF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A3FF6"/>
    <w:multiLevelType w:val="hybridMultilevel"/>
    <w:tmpl w:val="0478C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B0031"/>
    <w:multiLevelType w:val="hybridMultilevel"/>
    <w:tmpl w:val="EE2CB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3"/>
    <w:rsid w:val="00084BA5"/>
    <w:rsid w:val="000B645E"/>
    <w:rsid w:val="000E792B"/>
    <w:rsid w:val="001079B4"/>
    <w:rsid w:val="001F3327"/>
    <w:rsid w:val="00214BB8"/>
    <w:rsid w:val="00220B97"/>
    <w:rsid w:val="00237CE3"/>
    <w:rsid w:val="002408C8"/>
    <w:rsid w:val="002F26FF"/>
    <w:rsid w:val="003159B9"/>
    <w:rsid w:val="00315E86"/>
    <w:rsid w:val="0037139D"/>
    <w:rsid w:val="00382E08"/>
    <w:rsid w:val="003E5924"/>
    <w:rsid w:val="00447D97"/>
    <w:rsid w:val="004D3DB8"/>
    <w:rsid w:val="004E08E6"/>
    <w:rsid w:val="00513512"/>
    <w:rsid w:val="005A6798"/>
    <w:rsid w:val="00616E46"/>
    <w:rsid w:val="00690C08"/>
    <w:rsid w:val="007708C5"/>
    <w:rsid w:val="007A067E"/>
    <w:rsid w:val="007D1F47"/>
    <w:rsid w:val="007F7AF6"/>
    <w:rsid w:val="00805413"/>
    <w:rsid w:val="00951B4A"/>
    <w:rsid w:val="00952421"/>
    <w:rsid w:val="009709E2"/>
    <w:rsid w:val="00994310"/>
    <w:rsid w:val="009E3B54"/>
    <w:rsid w:val="00A02E4E"/>
    <w:rsid w:val="00A93936"/>
    <w:rsid w:val="00A979F2"/>
    <w:rsid w:val="00B10F56"/>
    <w:rsid w:val="00B37F3A"/>
    <w:rsid w:val="00B65BC7"/>
    <w:rsid w:val="00B83DB2"/>
    <w:rsid w:val="00B91B55"/>
    <w:rsid w:val="00BB7431"/>
    <w:rsid w:val="00BD0AA4"/>
    <w:rsid w:val="00C13425"/>
    <w:rsid w:val="00E3389A"/>
    <w:rsid w:val="00EC3216"/>
    <w:rsid w:val="00F2683B"/>
    <w:rsid w:val="00F4294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uiPriority w:val="99"/>
    <w:rsid w:val="00382E08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3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2E08"/>
    <w:rPr>
      <w:b/>
      <w:bCs/>
    </w:rPr>
  </w:style>
  <w:style w:type="character" w:styleId="a9">
    <w:name w:val="Hyperlink"/>
    <w:basedOn w:val="a0"/>
    <w:rsid w:val="00B65BC7"/>
    <w:rPr>
      <w:color w:val="0066CC"/>
      <w:u w:val="single"/>
    </w:rPr>
  </w:style>
  <w:style w:type="character" w:customStyle="1" w:styleId="aa">
    <w:name w:val="Абзац списка Знак"/>
    <w:basedOn w:val="a0"/>
    <w:link w:val="ab"/>
    <w:uiPriority w:val="34"/>
    <w:locked/>
    <w:rsid w:val="00B65BC7"/>
    <w:rPr>
      <w:sz w:val="20"/>
      <w:szCs w:val="20"/>
    </w:rPr>
  </w:style>
  <w:style w:type="paragraph" w:styleId="ab">
    <w:name w:val="List Paragraph"/>
    <w:basedOn w:val="a"/>
    <w:link w:val="aa"/>
    <w:uiPriority w:val="34"/>
    <w:qFormat/>
    <w:rsid w:val="00B65BC7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59B9"/>
  </w:style>
  <w:style w:type="paragraph" w:styleId="ae">
    <w:name w:val="footer"/>
    <w:basedOn w:val="a"/>
    <w:link w:val="af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59B9"/>
  </w:style>
  <w:style w:type="table" w:customStyle="1" w:styleId="5">
    <w:name w:val="Сетка таблицы5"/>
    <w:basedOn w:val="a1"/>
    <w:next w:val="a3"/>
    <w:uiPriority w:val="99"/>
    <w:rsid w:val="00C1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uiPriority w:val="99"/>
    <w:rsid w:val="00382E08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3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2E08"/>
    <w:rPr>
      <w:b/>
      <w:bCs/>
    </w:rPr>
  </w:style>
  <w:style w:type="character" w:styleId="a9">
    <w:name w:val="Hyperlink"/>
    <w:basedOn w:val="a0"/>
    <w:rsid w:val="00B65BC7"/>
    <w:rPr>
      <w:color w:val="0066CC"/>
      <w:u w:val="single"/>
    </w:rPr>
  </w:style>
  <w:style w:type="character" w:customStyle="1" w:styleId="aa">
    <w:name w:val="Абзац списка Знак"/>
    <w:basedOn w:val="a0"/>
    <w:link w:val="ab"/>
    <w:uiPriority w:val="34"/>
    <w:locked/>
    <w:rsid w:val="00B65BC7"/>
    <w:rPr>
      <w:sz w:val="20"/>
      <w:szCs w:val="20"/>
    </w:rPr>
  </w:style>
  <w:style w:type="paragraph" w:styleId="ab">
    <w:name w:val="List Paragraph"/>
    <w:basedOn w:val="a"/>
    <w:link w:val="aa"/>
    <w:uiPriority w:val="34"/>
    <w:qFormat/>
    <w:rsid w:val="00B65BC7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59B9"/>
  </w:style>
  <w:style w:type="paragraph" w:styleId="ae">
    <w:name w:val="footer"/>
    <w:basedOn w:val="a"/>
    <w:link w:val="af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59B9"/>
  </w:style>
  <w:style w:type="table" w:customStyle="1" w:styleId="5">
    <w:name w:val="Сетка таблицы5"/>
    <w:basedOn w:val="a1"/>
    <w:next w:val="a3"/>
    <w:uiPriority w:val="99"/>
    <w:rsid w:val="00C1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7302-576B-4DF8-8371-935020E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А.Д.</dc:creator>
  <cp:lastModifiedBy>Шамко К.В.</cp:lastModifiedBy>
  <cp:revision>9</cp:revision>
  <cp:lastPrinted>2021-12-20T04:45:00Z</cp:lastPrinted>
  <dcterms:created xsi:type="dcterms:W3CDTF">2021-12-20T05:45:00Z</dcterms:created>
  <dcterms:modified xsi:type="dcterms:W3CDTF">2022-02-18T00:51:00Z</dcterms:modified>
</cp:coreProperties>
</file>