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8"/>
        <w:gridCol w:w="5436"/>
      </w:tblGrid>
      <w:tr>
        <w:trPr/>
        <w:tc>
          <w:tcPr>
            <w:tcW w:w="53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54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А22-2840/2021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07.12.2021г. (Арбитражный суд Республики Калмыкия) в деле о банкротстве должника: Сангаджиев Алтн Эвгенович (дата рождения: 31.12.1990 г., место рождения: пос. Гашун Яшкульского р-на Калмыцкой АССР, СНИЛС 151-199-236-60, ИНН 081301467994, регистрация по месту жительства: 359153, Республика Калмыкия, Яшкульский район, п. Ревдольган, ул. Ревдольган, д.11),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 xml:space="preserve">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9129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9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Производственное сооружение (колодец шахтный) общей площадью 10 кв.м., глубиной 10м., расположенный по адресу:  Республика Калмыкия, Респ. Калмыкия, р-н Яшкульский, в 18,0 км на юго-восток от п. Улан-Эрге.Кадастровый номер: 08:13:140102:185. Номер государственной регистрации: 08-08-07/015/2013-627.Нежилое помещение общей площадью 36.9 кв. м, расположенный по адресу: Республика Калмыкия, р-н Яшкульский, в 18 км на юго-восток от п. Улан-Эрге.Кадастровый номер: 08:13:140102:184. Номер государственной регистрации: 08-08-07/015/2013-625.Нежилое помещение общей площадью 591.20кв.м, расположенный по адресу: Республика Калмыкия, р-н Яшкульский, в 18 км на юго-восток от п. Улан-Эрге.Кадастровый номер: 08:13:140102:183. Номер государственной регистрации: 08-08-07/015/2013-626.Имущество расположено на земельном участке с кадастровым номером общей площадью 11333105 +/- 29457 кв.м. с кадастровым номером 08:13:140102:27. Местоположение установлено относительно ориентира, расположенного за пределами участка. Ориентир п. Улан-Эрге. Участок находится примерно в 16,0 км, по направлению на юго-восток от ориентира. Почтовый адрес ориентира: Республика Калмыкия, Яшкульский район, участок находится примерно в 16,0 км, по направлению на юго-восток от ориентира п.Улан-Эрге. На участок зарегистрировано обременение в виде аренды № 08:13:140102:27-08/043/2022-16 (срок действия: с 01.06.2022 по 17.03.2027) в пользу Басаева Эрдни Дорджиевича.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40817810450153534522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САНГАДЖИЕВ АЛТН ЭВГЕНОВИЧ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Сангаджиев Алтн Эвгенович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Калмыкия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1088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96"/>
        <w:gridCol w:w="5388"/>
      </w:tblGrid>
      <w:tr>
        <w:trPr/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624" w:right="45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LibreOffice/7.4.2.3$Windows_X86_64 LibreOffice_project/382eef1f22670f7f4118c8c2dd222ec7ad009daf</Application>
  <AppVersion>15.0000</AppVersion>
  <Pages>3</Pages>
  <Words>1017</Words>
  <Characters>7442</Characters>
  <CharactersWithSpaces>8387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2022-12-06T17:26:44Z</dcterms:modified>
  <cp:revision>40</cp:revision>
  <dc:subject/>
  <dc:title/>
</cp:coreProperties>
</file>