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E6" w:rsidRDefault="00DF35E6" w:rsidP="00DF35E6">
      <w:pPr>
        <w:pStyle w:val="ConsTitle"/>
        <w:widowControl/>
        <w:spacing w:before="240" w:line="276" w:lineRule="auto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ДОГОВОР О ЗАДАТКЕ № </w:t>
      </w:r>
    </w:p>
    <w:p w:rsidR="00DF35E6" w:rsidRDefault="00DF35E6" w:rsidP="00DF35E6">
      <w:pPr>
        <w:pStyle w:val="ConsNonformat"/>
        <w:widowControl/>
        <w:spacing w:before="240" w:line="276" w:lineRule="auto"/>
        <w:ind w:right="0"/>
        <w:rPr>
          <w:rFonts w:ascii="Times New Roman" w:hAnsi="Times New Roman" w:cs="Times New Roman"/>
          <w:sz w:val="22"/>
          <w:szCs w:val="22"/>
        </w:rPr>
      </w:pPr>
    </w:p>
    <w:p w:rsidR="00DF35E6" w:rsidRDefault="00DF35E6" w:rsidP="00DF35E6">
      <w:pPr>
        <w:pStyle w:val="ConsNormal"/>
        <w:widowControl/>
        <w:spacing w:before="240" w:line="276" w:lineRule="auto"/>
        <w:ind w:righ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г. Ульяновск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color w:val="000000"/>
        </w:rPr>
        <w:t>«__» __________ 20</w:t>
      </w:r>
      <w:r w:rsidR="00FE014E">
        <w:rPr>
          <w:rFonts w:ascii="Times New Roman" w:hAnsi="Times New Roman" w:cs="Times New Roman"/>
          <w:color w:val="000000"/>
        </w:rPr>
        <w:t>2</w:t>
      </w:r>
      <w:r w:rsidR="009A547F">
        <w:rPr>
          <w:rFonts w:ascii="Times New Roman" w:hAnsi="Times New Roman" w:cs="Times New Roman"/>
          <w:color w:val="000000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г.</w:t>
      </w:r>
    </w:p>
    <w:p w:rsidR="00DF35E6" w:rsidRDefault="00DF35E6" w:rsidP="00DF35E6">
      <w:pPr>
        <w:pStyle w:val="ConsNormal"/>
        <w:widowControl/>
        <w:spacing w:before="240" w:line="276" w:lineRule="auto"/>
        <w:ind w:righ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Финансовый управляющий </w:t>
      </w:r>
      <w:r w:rsidR="006113C8">
        <w:rPr>
          <w:rFonts w:ascii="Times New Roman" w:hAnsi="Times New Roman" w:cs="Times New Roman"/>
        </w:rPr>
        <w:t xml:space="preserve">Валеевой Эльвиры </w:t>
      </w:r>
      <w:proofErr w:type="spellStart"/>
      <w:r w:rsidR="006113C8">
        <w:rPr>
          <w:rFonts w:ascii="Times New Roman" w:hAnsi="Times New Roman" w:cs="Times New Roman"/>
        </w:rPr>
        <w:t>Вясхитдиновны</w:t>
      </w:r>
      <w:proofErr w:type="spellEnd"/>
      <w:r w:rsidR="006113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Семенова Полина Валерьевна, именуемый в дальнейшем «Организатор торгов», действующий на основании Решения Арбитражного суда Ульяновской области по делу </w:t>
      </w:r>
      <w:r>
        <w:rPr>
          <w:rFonts w:ascii="Times New Roman" w:hAnsi="Times New Roman" w:cs="Times New Roman"/>
          <w:color w:val="000000"/>
          <w:spacing w:val="5"/>
        </w:rPr>
        <w:t>№ А72-</w:t>
      </w:r>
      <w:r w:rsidR="006113C8">
        <w:rPr>
          <w:rFonts w:ascii="Times New Roman" w:hAnsi="Times New Roman" w:cs="Times New Roman"/>
          <w:color w:val="000000"/>
          <w:spacing w:val="5"/>
        </w:rPr>
        <w:t>10590/2018</w:t>
      </w:r>
      <w:r>
        <w:rPr>
          <w:rFonts w:ascii="Times New Roman" w:hAnsi="Times New Roman" w:cs="Times New Roman"/>
          <w:color w:val="000000"/>
          <w:spacing w:val="5"/>
        </w:rPr>
        <w:t xml:space="preserve"> от 1</w:t>
      </w:r>
      <w:r w:rsidR="006113C8">
        <w:rPr>
          <w:rFonts w:ascii="Times New Roman" w:hAnsi="Times New Roman" w:cs="Times New Roman"/>
          <w:color w:val="000000"/>
          <w:spacing w:val="5"/>
        </w:rPr>
        <w:t>6</w:t>
      </w:r>
      <w:r>
        <w:rPr>
          <w:rFonts w:ascii="Times New Roman" w:hAnsi="Times New Roman" w:cs="Times New Roman"/>
          <w:color w:val="000000"/>
          <w:spacing w:val="5"/>
        </w:rPr>
        <w:t>.0</w:t>
      </w:r>
      <w:r w:rsidR="006113C8">
        <w:rPr>
          <w:rFonts w:ascii="Times New Roman" w:hAnsi="Times New Roman" w:cs="Times New Roman"/>
          <w:color w:val="000000"/>
          <w:spacing w:val="5"/>
        </w:rPr>
        <w:t>9</w:t>
      </w:r>
      <w:r>
        <w:rPr>
          <w:rFonts w:ascii="Times New Roman" w:hAnsi="Times New Roman" w:cs="Times New Roman"/>
          <w:color w:val="000000"/>
          <w:spacing w:val="5"/>
        </w:rPr>
        <w:t>.20</w:t>
      </w:r>
      <w:r w:rsidR="006113C8">
        <w:rPr>
          <w:rFonts w:ascii="Times New Roman" w:hAnsi="Times New Roman" w:cs="Times New Roman"/>
          <w:color w:val="000000"/>
          <w:spacing w:val="5"/>
        </w:rPr>
        <w:t>20</w:t>
      </w:r>
      <w:r>
        <w:rPr>
          <w:rFonts w:ascii="Times New Roman" w:hAnsi="Times New Roman" w:cs="Times New Roman"/>
          <w:color w:val="000000"/>
          <w:spacing w:val="5"/>
        </w:rPr>
        <w:t xml:space="preserve"> г.</w:t>
      </w:r>
      <w:r>
        <w:rPr>
          <w:rFonts w:ascii="Times New Roman" w:hAnsi="Times New Roman" w:cs="Times New Roman"/>
        </w:rPr>
        <w:t>, с одной стороны,  и______________________________________________________________________________________________________________________, заключили настоящий Договор о нижеследующем:</w:t>
      </w:r>
    </w:p>
    <w:p w:rsidR="00DF35E6" w:rsidRDefault="00DF35E6" w:rsidP="00DF35E6">
      <w:pPr>
        <w:numPr>
          <w:ilvl w:val="0"/>
          <w:numId w:val="1"/>
        </w:numPr>
        <w:spacing w:before="240"/>
        <w:jc w:val="center"/>
        <w:outlineLvl w:val="2"/>
      </w:pPr>
      <w:r>
        <w:t>Предмет договора</w:t>
      </w:r>
    </w:p>
    <w:p w:rsidR="00DF35E6" w:rsidRDefault="00DF35E6" w:rsidP="00DF35E6">
      <w:pPr>
        <w:spacing w:before="240"/>
        <w:outlineLvl w:val="2"/>
      </w:pPr>
    </w:p>
    <w:p w:rsidR="00DF35E6" w:rsidRDefault="00DF35E6" w:rsidP="00DF35E6">
      <w:pPr>
        <w:jc w:val="both"/>
      </w:pPr>
      <w:r>
        <w:t xml:space="preserve">1.1. </w:t>
      </w:r>
      <w:proofErr w:type="gramStart"/>
      <w:r>
        <w:t>В соответствии с условиями настоящего договора Заявитель для участия в открытых торгах по продаже</w:t>
      </w:r>
      <w:proofErr w:type="gramEnd"/>
      <w:r>
        <w:t xml:space="preserve"> имущества: </w:t>
      </w:r>
    </w:p>
    <w:p w:rsidR="00DF35E6" w:rsidRDefault="00DF35E6" w:rsidP="00DF35E6">
      <w:pPr>
        <w:jc w:val="both"/>
      </w:pP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, </w:t>
      </w:r>
      <w:r>
        <w:t xml:space="preserve"> перечисляет денежные средства в размере</w:t>
      </w:r>
      <w:r w:rsidR="00F13BA7">
        <w:t xml:space="preserve"> __________________ руб.</w:t>
      </w:r>
      <w:r>
        <w:t xml:space="preserve"> _____________</w:t>
      </w:r>
      <w:r w:rsidR="00F13BA7">
        <w:t>коп</w:t>
      </w:r>
      <w:proofErr w:type="gramStart"/>
      <w:r w:rsidR="00F13BA7">
        <w:t>.</w:t>
      </w:r>
      <w:proofErr w:type="gramEnd"/>
      <w:r w:rsidR="00F13BA7">
        <w:t xml:space="preserve"> </w:t>
      </w:r>
      <w:r>
        <w:t xml:space="preserve"> (</w:t>
      </w:r>
      <w:proofErr w:type="gramStart"/>
      <w:r>
        <w:t>д</w:t>
      </w:r>
      <w:proofErr w:type="gramEnd"/>
      <w:r>
        <w:t>алее - "задаток"), а Организатор торгов принимает задаток на специальный банковский счет для оплаты задатков по следующим реквизитам: ИНН</w:t>
      </w:r>
      <w:r w:rsidR="00B16EFF">
        <w:t xml:space="preserve"> должника:</w:t>
      </w:r>
      <w:r>
        <w:t xml:space="preserve"> </w:t>
      </w:r>
      <w:r w:rsidR="00B16EFF">
        <w:t>732101885288</w:t>
      </w:r>
      <w:r>
        <w:t xml:space="preserve">, </w:t>
      </w:r>
      <w:r w:rsidRPr="00B16EFF">
        <w:t>счет №</w:t>
      </w:r>
      <w:r w:rsidR="00B16EFF" w:rsidRPr="00B16EFF">
        <w:t>40817810369001757302</w:t>
      </w:r>
      <w:r w:rsidRPr="00B16EFF">
        <w:t>, ПАО</w:t>
      </w:r>
      <w:r>
        <w:t xml:space="preserve"> «Сбербанк России», отделение 8588 г. Ульяновск, </w:t>
      </w:r>
      <w:proofErr w:type="gramStart"/>
      <w:r>
        <w:t>к</w:t>
      </w:r>
      <w:proofErr w:type="gramEnd"/>
      <w:r>
        <w:t>/с 30101810000000000602, БИК 047308602.</w:t>
      </w:r>
    </w:p>
    <w:p w:rsidR="00DF35E6" w:rsidRDefault="00DF35E6" w:rsidP="00DF35E6">
      <w:pPr>
        <w:jc w:val="both"/>
      </w:pPr>
      <w:r>
        <w:t>1.2.  Начальная цена имущества составляет ______________ руб. 00 коп</w:t>
      </w:r>
      <w:proofErr w:type="gramStart"/>
      <w:r>
        <w:t xml:space="preserve">., </w:t>
      </w:r>
      <w:proofErr w:type="gramEnd"/>
      <w:r>
        <w:t>НДС не предусмотрен.</w:t>
      </w:r>
    </w:p>
    <w:p w:rsidR="00DF35E6" w:rsidRDefault="00DF35E6" w:rsidP="00DF35E6">
      <w:pPr>
        <w:spacing w:before="240"/>
        <w:jc w:val="both"/>
        <w:outlineLvl w:val="2"/>
      </w:pPr>
      <w:r>
        <w:t xml:space="preserve">1.3. Задаток вносится Претендентом в счет обеспечения исполнения </w:t>
      </w:r>
      <w:proofErr w:type="gramStart"/>
      <w:r>
        <w:t>обязательств</w:t>
      </w:r>
      <w:proofErr w:type="gramEnd"/>
      <w:r>
        <w:t xml:space="preserve"> по оплате продаваемого на торгах имущества.</w:t>
      </w:r>
    </w:p>
    <w:p w:rsidR="00DF35E6" w:rsidRDefault="00DF35E6" w:rsidP="00DF35E6">
      <w:pPr>
        <w:spacing w:before="240"/>
        <w:jc w:val="center"/>
        <w:outlineLvl w:val="2"/>
      </w:pPr>
      <w:r>
        <w:rPr>
          <w:sz w:val="22"/>
          <w:szCs w:val="22"/>
        </w:rPr>
        <w:t>II</w:t>
      </w:r>
      <w:r>
        <w:t>. Порядок внесения задатка</w:t>
      </w:r>
    </w:p>
    <w:p w:rsidR="00DF35E6" w:rsidRDefault="00DF35E6" w:rsidP="00DF35E6">
      <w:pPr>
        <w:spacing w:before="240"/>
        <w:jc w:val="both"/>
        <w:outlineLvl w:val="2"/>
      </w:pPr>
      <w:r>
        <w:t xml:space="preserve">2.1. Задаток должен быть внесен единым платежом в российских рублях Претендентом </w:t>
      </w:r>
      <w:proofErr w:type="gramStart"/>
      <w:r>
        <w:t>на</w:t>
      </w:r>
      <w:proofErr w:type="gramEnd"/>
      <w:r>
        <w:t xml:space="preserve"> указанный в п. </w:t>
      </w:r>
      <w:hyperlink r:id="rId6" w:history="1">
        <w:r>
          <w:rPr>
            <w:rStyle w:val="a3"/>
            <w:color w:val="auto"/>
            <w:u w:val="none"/>
          </w:rPr>
          <w:t>1.1</w:t>
        </w:r>
      </w:hyperlink>
      <w:r>
        <w:t xml:space="preserve"> настоящего договора счет и считается внесенным </w:t>
      </w:r>
      <w:proofErr w:type="gramStart"/>
      <w:r>
        <w:t>с даты  поступления</w:t>
      </w:r>
      <w:proofErr w:type="gramEnd"/>
      <w:r>
        <w:t xml:space="preserve"> всей суммы задатка на указанный счет.</w:t>
      </w:r>
    </w:p>
    <w:p w:rsidR="00DF35E6" w:rsidRDefault="00DF35E6" w:rsidP="00DF35E6">
      <w:pPr>
        <w:spacing w:before="240"/>
        <w:jc w:val="both"/>
        <w:outlineLvl w:val="2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суммы задатка в установленный срок обязательства Претендента по внесению задатка считаются невыполненными. В этом случае Заявитель к участию в торгах не допускается.</w:t>
      </w:r>
    </w:p>
    <w:p w:rsidR="00DF35E6" w:rsidRDefault="00DF35E6" w:rsidP="00DF35E6">
      <w:pPr>
        <w:spacing w:before="240"/>
        <w:jc w:val="both"/>
        <w:outlineLvl w:val="2"/>
      </w:pPr>
      <w:r>
        <w:t>Документом, подтверждающим внесение или невнесение Претендентом задатка, является платежный документ, который предоставляется вместе с заявкой на участие в торгах.</w:t>
      </w:r>
    </w:p>
    <w:p w:rsidR="00DF35E6" w:rsidRDefault="00DF35E6" w:rsidP="00DF35E6">
      <w:pPr>
        <w:spacing w:before="240"/>
        <w:jc w:val="both"/>
        <w:outlineLvl w:val="2"/>
      </w:pPr>
      <w:r>
        <w:t xml:space="preserve">Документом, подтверждающим поступление задатка на расчетный счет Организатора торгов, является выписка с указанного в </w:t>
      </w:r>
      <w:hyperlink r:id="rId7" w:history="1">
        <w:r>
          <w:rPr>
            <w:rStyle w:val="a3"/>
            <w:color w:val="auto"/>
            <w:u w:val="none"/>
          </w:rPr>
          <w:t>п. 1.1</w:t>
        </w:r>
      </w:hyperlink>
      <w:r>
        <w:t xml:space="preserve"> настоящего договора счета. </w:t>
      </w:r>
    </w:p>
    <w:p w:rsidR="00DF35E6" w:rsidRDefault="00DF35E6" w:rsidP="00DF35E6">
      <w:pPr>
        <w:spacing w:before="240"/>
        <w:jc w:val="both"/>
        <w:outlineLvl w:val="2"/>
      </w:pPr>
      <w:r>
        <w:t>2.2. Организатор торгов не вправе распоряжаться денежными средствами, поступившими на его счет в качестве задатка.</w:t>
      </w:r>
    </w:p>
    <w:p w:rsidR="00DF35E6" w:rsidRDefault="00DF35E6" w:rsidP="00DF35E6">
      <w:pPr>
        <w:spacing w:before="240"/>
        <w:jc w:val="both"/>
        <w:outlineLvl w:val="2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DF35E6" w:rsidRDefault="00DF35E6" w:rsidP="00DF35E6">
      <w:pPr>
        <w:spacing w:before="240"/>
        <w:jc w:val="center"/>
        <w:outlineLvl w:val="2"/>
      </w:pPr>
      <w:r>
        <w:t>III. Порядок возврата и удержания задатка</w:t>
      </w:r>
    </w:p>
    <w:p w:rsidR="00DF35E6" w:rsidRDefault="00DF35E6" w:rsidP="00DF35E6">
      <w:pPr>
        <w:spacing w:before="240"/>
        <w:jc w:val="both"/>
        <w:outlineLvl w:val="2"/>
      </w:pPr>
      <w:r>
        <w:t xml:space="preserve">3.1. Задаток возвращается в случаях и в сроки, которые установлены </w:t>
      </w:r>
      <w:hyperlink r:id="rId8" w:history="1">
        <w:r>
          <w:rPr>
            <w:rStyle w:val="a3"/>
            <w:color w:val="auto"/>
            <w:u w:val="none"/>
          </w:rPr>
          <w:t>пунктами 3.2</w:t>
        </w:r>
      </w:hyperlink>
      <w:r>
        <w:t xml:space="preserve">.  </w:t>
      </w:r>
      <w:hyperlink r:id="rId9" w:history="1">
        <w:r>
          <w:rPr>
            <w:rStyle w:val="a3"/>
            <w:color w:val="auto"/>
            <w:u w:val="none"/>
          </w:rPr>
          <w:t>- 3.</w:t>
        </w:r>
      </w:hyperlink>
      <w:r>
        <w:t xml:space="preserve">7. настоящего договора, путем перечисления суммы </w:t>
      </w:r>
      <w:r>
        <w:rPr>
          <w:rFonts w:eastAsia="Calibri"/>
        </w:rPr>
        <w:t>внесенного задатка на расчетный счет  Заявителя</w:t>
      </w:r>
      <w:r>
        <w:t>. В случае отсутствия у Претендента расчетного счета, задаток возвращается по указанным реквизитам в заявлении о возврате задатка, исключая наличный расчет.</w:t>
      </w:r>
    </w:p>
    <w:p w:rsidR="00DF35E6" w:rsidRDefault="00DF35E6" w:rsidP="00DF35E6">
      <w:pPr>
        <w:spacing w:before="240"/>
        <w:jc w:val="both"/>
        <w:outlineLvl w:val="2"/>
      </w:pPr>
      <w:r>
        <w:t xml:space="preserve"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</w:t>
      </w:r>
      <w:r>
        <w:lastRenderedPageBreak/>
        <w:t>изменении своих банковских реквизитов.</w:t>
      </w:r>
    </w:p>
    <w:p w:rsidR="00DF35E6" w:rsidRDefault="00DF35E6" w:rsidP="00DF35E6">
      <w:pPr>
        <w:spacing w:before="240"/>
        <w:jc w:val="both"/>
        <w:outlineLvl w:val="2"/>
      </w:pPr>
      <w:r>
        <w:t xml:space="preserve">3.2. В случае если  Претендент не будет допущен к участию в торгах, Организатор торгов обязуется возвратить сумму внесенного Претендентом задатка в течение 3 (трех) рабочих дней </w:t>
      </w:r>
      <w:proofErr w:type="gramStart"/>
      <w:r>
        <w:t>с даты оформления</w:t>
      </w:r>
      <w:proofErr w:type="gramEnd"/>
      <w:r>
        <w:t xml:space="preserve"> Протокола окончания приема и регистрации заявок на участие в торгах.</w:t>
      </w:r>
    </w:p>
    <w:p w:rsidR="00DF35E6" w:rsidRDefault="00DF35E6" w:rsidP="00DF35E6">
      <w:pPr>
        <w:spacing w:before="240"/>
        <w:jc w:val="both"/>
        <w:outlineLvl w:val="2"/>
      </w:pPr>
      <w: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3 (трех) рабочих дней со дня подписания Протокола об итогах торгов.</w:t>
      </w:r>
    </w:p>
    <w:p w:rsidR="00DF35E6" w:rsidRDefault="00DF35E6" w:rsidP="00DF35E6">
      <w:pPr>
        <w:spacing w:before="240"/>
        <w:jc w:val="both"/>
        <w:outlineLvl w:val="2"/>
      </w:pPr>
      <w:r>
        <w:t>3.4.  В случае отмены торгов, организатор торгов возвращает задаток Претенденту в течение 3 (трех) рабочих дней со дня вынесения решения об отмене торгов.</w:t>
      </w:r>
    </w:p>
    <w:p w:rsidR="00DF35E6" w:rsidRDefault="00DF35E6" w:rsidP="00DF35E6">
      <w:pPr>
        <w:spacing w:before="240"/>
        <w:jc w:val="both"/>
        <w:outlineLvl w:val="2"/>
      </w:pPr>
      <w:r>
        <w:t>3.5. В случае отсутствия расчетного счета у Претендента задаток возвращается в течение 3 (трех) рабочих дней со дня получения заявления о возврате задатка.</w:t>
      </w:r>
    </w:p>
    <w:p w:rsidR="00DF35E6" w:rsidRDefault="00DF35E6" w:rsidP="00DF35E6">
      <w:pPr>
        <w:spacing w:before="240"/>
        <w:jc w:val="both"/>
        <w:outlineLvl w:val="2"/>
      </w:pPr>
      <w:r>
        <w:t>3.8. Внесенный задаток не возвращается в случае, если Претендент, признанный победителем торгов:</w:t>
      </w:r>
    </w:p>
    <w:p w:rsidR="00DF35E6" w:rsidRDefault="00DF35E6" w:rsidP="00DF35E6">
      <w:pPr>
        <w:spacing w:before="240"/>
        <w:jc w:val="both"/>
        <w:outlineLvl w:val="2"/>
      </w:pPr>
      <w:r>
        <w:t>- уклонится от подписания Протокола о результатах проведения торгов или договора купли-продажи в установленный срок;</w:t>
      </w:r>
    </w:p>
    <w:p w:rsidR="00DF35E6" w:rsidRDefault="00DF35E6" w:rsidP="00DF35E6">
      <w:pPr>
        <w:spacing w:before="240"/>
        <w:jc w:val="both"/>
        <w:outlineLvl w:val="2"/>
      </w:pPr>
      <w:r>
        <w:t xml:space="preserve">- уклонится от полной оплаты продаваемого на торгах имущества в срок, установленный подписанным Протоколом о результатах проведения торгов и договором купли-продажи имущества. </w:t>
      </w:r>
    </w:p>
    <w:p w:rsidR="00DF35E6" w:rsidRDefault="00DF35E6" w:rsidP="00DF35E6">
      <w:pPr>
        <w:spacing w:before="240"/>
        <w:jc w:val="both"/>
        <w:outlineLvl w:val="2"/>
      </w:pPr>
      <w:r>
        <w:t xml:space="preserve">3.8. Внесенный Претендентом задаток засчитывается </w:t>
      </w:r>
      <w:proofErr w:type="gramStart"/>
      <w:r>
        <w:t>в счет оплаты приобретаемого на торгах имущества при подписании в установленном порядке Протокола о результатах</w:t>
      </w:r>
      <w:proofErr w:type="gramEnd"/>
      <w:r>
        <w:t xml:space="preserve"> проведения торгов, имеющего силу договора (при заключении в установленном порядке Договора купли - продажи имущества).</w:t>
      </w:r>
    </w:p>
    <w:p w:rsidR="00DF35E6" w:rsidRDefault="00DF35E6" w:rsidP="00DF35E6">
      <w:pPr>
        <w:spacing w:before="240"/>
        <w:jc w:val="center"/>
        <w:outlineLvl w:val="2"/>
      </w:pPr>
      <w:r>
        <w:t>IV. Срок действия настоящего договора</w:t>
      </w:r>
    </w:p>
    <w:p w:rsidR="00DF35E6" w:rsidRDefault="00DF35E6" w:rsidP="00DF35E6">
      <w:pPr>
        <w:spacing w:before="240"/>
        <w:jc w:val="both"/>
        <w:outlineLvl w:val="2"/>
      </w:pPr>
      <w: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DF35E6" w:rsidRDefault="00DF35E6" w:rsidP="00DF35E6">
      <w:pPr>
        <w:spacing w:before="240"/>
        <w:jc w:val="both"/>
        <w:outlineLvl w:val="2"/>
      </w:pPr>
      <w: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суда, в соответствии с действующим законодательством Российской Федерации.</w:t>
      </w:r>
    </w:p>
    <w:p w:rsidR="00DF35E6" w:rsidRDefault="00DF35E6" w:rsidP="00DF35E6">
      <w:pPr>
        <w:spacing w:before="240"/>
        <w:jc w:val="both"/>
        <w:outlineLvl w:val="2"/>
      </w:pPr>
      <w:r>
        <w:t>4.3. Настоящий договор составлен в двух экземплярах, имеющих одинаковую юридическую силу, по одному для каждой из Сторон.</w:t>
      </w:r>
    </w:p>
    <w:p w:rsidR="00DF35E6" w:rsidRDefault="00DF35E6" w:rsidP="00DF35E6">
      <w:pPr>
        <w:spacing w:before="240"/>
        <w:jc w:val="center"/>
        <w:outlineLvl w:val="2"/>
      </w:pPr>
      <w:r>
        <w:t>V. Место нахождения и банковские реквизиты Сторон</w:t>
      </w:r>
    </w:p>
    <w:p w:rsidR="00DF35E6" w:rsidRDefault="00DF35E6" w:rsidP="00DF35E6">
      <w:pPr>
        <w:spacing w:before="240"/>
        <w:outlineLvl w:val="2"/>
      </w:pPr>
    </w:p>
    <w:tbl>
      <w:tblPr>
        <w:tblW w:w="142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3"/>
        <w:gridCol w:w="4794"/>
        <w:gridCol w:w="4678"/>
      </w:tblGrid>
      <w:tr w:rsidR="00DF35E6" w:rsidTr="00DF35E6">
        <w:tc>
          <w:tcPr>
            <w:tcW w:w="4794" w:type="dxa"/>
          </w:tcPr>
          <w:p w:rsidR="00DF35E6" w:rsidRDefault="00DF35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Организатор торгов:                                                      </w:t>
            </w:r>
          </w:p>
          <w:p w:rsidR="00DF35E6" w:rsidRDefault="00DF35E6">
            <w:pPr>
              <w:pStyle w:val="3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Финансовый управляющий </w:t>
            </w:r>
            <w:r w:rsidR="00B16EFF">
              <w:rPr>
                <w:rFonts w:ascii="Times New Roman" w:hAnsi="Times New Roman" w:cs="Times New Roman"/>
                <w:b/>
                <w:bCs/>
              </w:rPr>
              <w:t>Валеевой Э.В.</w:t>
            </w:r>
          </w:p>
          <w:p w:rsidR="00DF35E6" w:rsidRDefault="00DF35E6">
            <w:pPr>
              <w:rPr>
                <w:b/>
              </w:rPr>
            </w:pPr>
            <w:proofErr w:type="spellStart"/>
            <w:r>
              <w:rPr>
                <w:b/>
              </w:rPr>
              <w:t>П.В.Семенова</w:t>
            </w:r>
            <w:proofErr w:type="spellEnd"/>
            <w:r>
              <w:rPr>
                <w:b/>
              </w:rPr>
              <w:t xml:space="preserve"> </w:t>
            </w:r>
          </w:p>
          <w:p w:rsidR="00DF35E6" w:rsidRDefault="00DF35E6"/>
        </w:tc>
        <w:tc>
          <w:tcPr>
            <w:tcW w:w="4794" w:type="dxa"/>
          </w:tcPr>
          <w:p w:rsidR="00DF35E6" w:rsidRDefault="00DF35E6">
            <w:pPr>
              <w:pStyle w:val="3"/>
              <w:spacing w:line="276" w:lineRule="auto"/>
              <w:ind w:left="2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Заявитель:</w:t>
            </w:r>
          </w:p>
          <w:p w:rsidR="00DF35E6" w:rsidRDefault="00DF35E6">
            <w:pPr>
              <w:pStyle w:val="ConsNonformat"/>
              <w:widowControl/>
              <w:spacing w:line="276" w:lineRule="auto"/>
              <w:ind w:left="239" w:right="0"/>
              <w:rPr>
                <w:rFonts w:ascii="Times New Roman" w:hAnsi="Times New Roman" w:cs="Times New Roman"/>
                <w:b/>
              </w:rPr>
            </w:pPr>
          </w:p>
          <w:p w:rsidR="00DF35E6" w:rsidRDefault="00DF35E6">
            <w:pPr>
              <w:pStyle w:val="ConsNonformat"/>
              <w:widowControl/>
              <w:spacing w:line="276" w:lineRule="auto"/>
              <w:ind w:left="239" w:right="0"/>
              <w:rPr>
                <w:rFonts w:ascii="Times New Roman" w:hAnsi="Times New Roman" w:cs="Times New Roman"/>
                <w:b/>
              </w:rPr>
            </w:pPr>
          </w:p>
          <w:p w:rsidR="00DF35E6" w:rsidRDefault="00DF35E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78" w:type="dxa"/>
            <w:hideMark/>
          </w:tcPr>
          <w:p w:rsidR="00DF35E6" w:rsidRDefault="00DF35E6">
            <w:pPr>
              <w:ind w:left="239"/>
              <w:jc w:val="right"/>
              <w:rPr>
                <w:b/>
              </w:rPr>
            </w:pPr>
            <w:r>
              <w:rPr>
                <w:b/>
              </w:rPr>
              <w:t xml:space="preserve">                   Претендент:</w:t>
            </w:r>
          </w:p>
        </w:tc>
      </w:tr>
      <w:tr w:rsidR="00DF35E6" w:rsidTr="00DF35E6">
        <w:tc>
          <w:tcPr>
            <w:tcW w:w="4794" w:type="dxa"/>
          </w:tcPr>
          <w:p w:rsidR="00DF35E6" w:rsidRDefault="00DF35E6">
            <w:pPr>
              <w:rPr>
                <w:b/>
                <w:bCs/>
              </w:rPr>
            </w:pPr>
          </w:p>
          <w:p w:rsidR="00DF35E6" w:rsidRDefault="00DF35E6">
            <w:pPr>
              <w:ind w:firstLine="567"/>
              <w:jc w:val="both"/>
              <w:rPr>
                <w:b/>
                <w:bCs/>
              </w:rPr>
            </w:pPr>
          </w:p>
          <w:p w:rsidR="00DF35E6" w:rsidRDefault="00DF35E6">
            <w:pPr>
              <w:jc w:val="both"/>
              <w:rPr>
                <w:b/>
                <w:bCs/>
              </w:rPr>
            </w:pPr>
          </w:p>
          <w:p w:rsidR="00DF35E6" w:rsidRDefault="00DF35E6">
            <w:pPr>
              <w:jc w:val="both"/>
              <w:rPr>
                <w:b/>
                <w:bCs/>
              </w:rPr>
            </w:pPr>
          </w:p>
          <w:p w:rsidR="00DF35E6" w:rsidRDefault="00DF35E6">
            <w:pPr>
              <w:jc w:val="both"/>
              <w:rPr>
                <w:b/>
                <w:bCs/>
              </w:rPr>
            </w:pPr>
          </w:p>
          <w:p w:rsidR="00DF35E6" w:rsidRDefault="00DF35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_________________/</w:t>
            </w:r>
            <w:proofErr w:type="spellStart"/>
            <w:r>
              <w:rPr>
                <w:b/>
                <w:bCs/>
              </w:rPr>
              <w:t>П.В.Семенова</w:t>
            </w:r>
            <w:proofErr w:type="spellEnd"/>
            <w:r>
              <w:rPr>
                <w:b/>
                <w:bCs/>
              </w:rPr>
              <w:t xml:space="preserve">/                            </w:t>
            </w:r>
          </w:p>
        </w:tc>
        <w:tc>
          <w:tcPr>
            <w:tcW w:w="4794" w:type="dxa"/>
          </w:tcPr>
          <w:p w:rsidR="00DF35E6" w:rsidRDefault="00DF35E6">
            <w:pPr>
              <w:spacing w:before="240"/>
              <w:ind w:left="239"/>
              <w:rPr>
                <w:b/>
                <w:bCs/>
              </w:rPr>
            </w:pPr>
          </w:p>
          <w:p w:rsidR="00DF35E6" w:rsidRDefault="00DF35E6">
            <w:pPr>
              <w:spacing w:before="240"/>
              <w:ind w:left="239"/>
              <w:rPr>
                <w:b/>
                <w:bCs/>
              </w:rPr>
            </w:pPr>
          </w:p>
          <w:p w:rsidR="00DF35E6" w:rsidRDefault="00DF35E6">
            <w:pPr>
              <w:spacing w:before="240"/>
              <w:ind w:left="239"/>
              <w:rPr>
                <w:b/>
                <w:bCs/>
              </w:rPr>
            </w:pPr>
            <w:r>
              <w:rPr>
                <w:b/>
                <w:bCs/>
              </w:rPr>
              <w:t>_______________ /_____________________/</w:t>
            </w:r>
          </w:p>
        </w:tc>
        <w:tc>
          <w:tcPr>
            <w:tcW w:w="4678" w:type="dxa"/>
          </w:tcPr>
          <w:p w:rsidR="00DF35E6" w:rsidRDefault="00DF35E6">
            <w:pPr>
              <w:spacing w:before="240"/>
              <w:ind w:left="239"/>
              <w:jc w:val="right"/>
              <w:rPr>
                <w:b/>
              </w:rPr>
            </w:pPr>
          </w:p>
        </w:tc>
      </w:tr>
    </w:tbl>
    <w:p w:rsidR="00BA7D69" w:rsidRDefault="00BA7D69"/>
    <w:sectPr w:rsidR="00BA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496B"/>
    <w:multiLevelType w:val="hybridMultilevel"/>
    <w:tmpl w:val="3F6EC830"/>
    <w:lvl w:ilvl="0" w:tplc="17902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EC"/>
    <w:rsid w:val="00003C95"/>
    <w:rsid w:val="0001120D"/>
    <w:rsid w:val="00031315"/>
    <w:rsid w:val="00067CA3"/>
    <w:rsid w:val="00073680"/>
    <w:rsid w:val="000A2173"/>
    <w:rsid w:val="000B2ACB"/>
    <w:rsid w:val="000B584D"/>
    <w:rsid w:val="000B65EC"/>
    <w:rsid w:val="000C268E"/>
    <w:rsid w:val="000D236F"/>
    <w:rsid w:val="000F7C1A"/>
    <w:rsid w:val="00104C7D"/>
    <w:rsid w:val="00106DC6"/>
    <w:rsid w:val="00116457"/>
    <w:rsid w:val="00126A3D"/>
    <w:rsid w:val="001452D6"/>
    <w:rsid w:val="0014633E"/>
    <w:rsid w:val="00150A65"/>
    <w:rsid w:val="001602B5"/>
    <w:rsid w:val="00183C71"/>
    <w:rsid w:val="001B0CB4"/>
    <w:rsid w:val="001B7178"/>
    <w:rsid w:val="001C52C0"/>
    <w:rsid w:val="001C5946"/>
    <w:rsid w:val="001D32E2"/>
    <w:rsid w:val="001E4F59"/>
    <w:rsid w:val="001E5DA7"/>
    <w:rsid w:val="001F7ABB"/>
    <w:rsid w:val="00213BA4"/>
    <w:rsid w:val="002141A9"/>
    <w:rsid w:val="0021565C"/>
    <w:rsid w:val="002238A5"/>
    <w:rsid w:val="00224337"/>
    <w:rsid w:val="00233912"/>
    <w:rsid w:val="00236094"/>
    <w:rsid w:val="00246071"/>
    <w:rsid w:val="002563BD"/>
    <w:rsid w:val="002808F3"/>
    <w:rsid w:val="002D0CE5"/>
    <w:rsid w:val="002D1B94"/>
    <w:rsid w:val="002D65EA"/>
    <w:rsid w:val="002F2815"/>
    <w:rsid w:val="00321011"/>
    <w:rsid w:val="003461F5"/>
    <w:rsid w:val="003A2145"/>
    <w:rsid w:val="003A2BC3"/>
    <w:rsid w:val="003C659C"/>
    <w:rsid w:val="003E0627"/>
    <w:rsid w:val="003E258A"/>
    <w:rsid w:val="003F6272"/>
    <w:rsid w:val="00406B5E"/>
    <w:rsid w:val="00420759"/>
    <w:rsid w:val="00423DC3"/>
    <w:rsid w:val="00426124"/>
    <w:rsid w:val="00437D09"/>
    <w:rsid w:val="00441A6A"/>
    <w:rsid w:val="00485887"/>
    <w:rsid w:val="004A7349"/>
    <w:rsid w:val="004B2953"/>
    <w:rsid w:val="0053047B"/>
    <w:rsid w:val="00531F61"/>
    <w:rsid w:val="00533C19"/>
    <w:rsid w:val="005348DD"/>
    <w:rsid w:val="00534C8F"/>
    <w:rsid w:val="00581C65"/>
    <w:rsid w:val="00587589"/>
    <w:rsid w:val="00593ED5"/>
    <w:rsid w:val="005A5866"/>
    <w:rsid w:val="005B5EE0"/>
    <w:rsid w:val="005C2864"/>
    <w:rsid w:val="005C4472"/>
    <w:rsid w:val="005E231D"/>
    <w:rsid w:val="005E4EC0"/>
    <w:rsid w:val="005F7164"/>
    <w:rsid w:val="00601627"/>
    <w:rsid w:val="00606A71"/>
    <w:rsid w:val="006113C8"/>
    <w:rsid w:val="00614930"/>
    <w:rsid w:val="0061799E"/>
    <w:rsid w:val="006210B8"/>
    <w:rsid w:val="006460C2"/>
    <w:rsid w:val="006466D5"/>
    <w:rsid w:val="0066376B"/>
    <w:rsid w:val="006778FA"/>
    <w:rsid w:val="0068081A"/>
    <w:rsid w:val="00693FD4"/>
    <w:rsid w:val="006A1089"/>
    <w:rsid w:val="006B20EC"/>
    <w:rsid w:val="006D2FBD"/>
    <w:rsid w:val="006D5CCB"/>
    <w:rsid w:val="006E115F"/>
    <w:rsid w:val="00745314"/>
    <w:rsid w:val="0075243F"/>
    <w:rsid w:val="007658DB"/>
    <w:rsid w:val="00767106"/>
    <w:rsid w:val="00793282"/>
    <w:rsid w:val="007A34BB"/>
    <w:rsid w:val="007D404D"/>
    <w:rsid w:val="007F0839"/>
    <w:rsid w:val="007F2056"/>
    <w:rsid w:val="007F351B"/>
    <w:rsid w:val="00805C6F"/>
    <w:rsid w:val="008434F4"/>
    <w:rsid w:val="00847F71"/>
    <w:rsid w:val="008731DC"/>
    <w:rsid w:val="008C5E18"/>
    <w:rsid w:val="008C5F41"/>
    <w:rsid w:val="00907234"/>
    <w:rsid w:val="009126C6"/>
    <w:rsid w:val="00921137"/>
    <w:rsid w:val="0092353C"/>
    <w:rsid w:val="009316A1"/>
    <w:rsid w:val="00946344"/>
    <w:rsid w:val="00965478"/>
    <w:rsid w:val="00993B90"/>
    <w:rsid w:val="009A547F"/>
    <w:rsid w:val="009B047B"/>
    <w:rsid w:val="009B4311"/>
    <w:rsid w:val="009C2190"/>
    <w:rsid w:val="009D77E1"/>
    <w:rsid w:val="009F723B"/>
    <w:rsid w:val="00A25950"/>
    <w:rsid w:val="00A33F20"/>
    <w:rsid w:val="00A36448"/>
    <w:rsid w:val="00A8686E"/>
    <w:rsid w:val="00A869EC"/>
    <w:rsid w:val="00A97921"/>
    <w:rsid w:val="00AA42CF"/>
    <w:rsid w:val="00AB6098"/>
    <w:rsid w:val="00AC232F"/>
    <w:rsid w:val="00AC252E"/>
    <w:rsid w:val="00AD0BF6"/>
    <w:rsid w:val="00AE226E"/>
    <w:rsid w:val="00AF4953"/>
    <w:rsid w:val="00B03D99"/>
    <w:rsid w:val="00B1038D"/>
    <w:rsid w:val="00B1492A"/>
    <w:rsid w:val="00B16EFF"/>
    <w:rsid w:val="00B2067F"/>
    <w:rsid w:val="00B2245F"/>
    <w:rsid w:val="00B23694"/>
    <w:rsid w:val="00B30480"/>
    <w:rsid w:val="00B765D5"/>
    <w:rsid w:val="00B82325"/>
    <w:rsid w:val="00BA7D69"/>
    <w:rsid w:val="00BB1BE8"/>
    <w:rsid w:val="00BB29A2"/>
    <w:rsid w:val="00BD372C"/>
    <w:rsid w:val="00BD438D"/>
    <w:rsid w:val="00BF72B9"/>
    <w:rsid w:val="00C02541"/>
    <w:rsid w:val="00C2783C"/>
    <w:rsid w:val="00C342B8"/>
    <w:rsid w:val="00C35EE5"/>
    <w:rsid w:val="00C53BF6"/>
    <w:rsid w:val="00C5798B"/>
    <w:rsid w:val="00C62496"/>
    <w:rsid w:val="00C904E9"/>
    <w:rsid w:val="00C92935"/>
    <w:rsid w:val="00CA3989"/>
    <w:rsid w:val="00CB1A09"/>
    <w:rsid w:val="00CB7936"/>
    <w:rsid w:val="00CC1D14"/>
    <w:rsid w:val="00CC7283"/>
    <w:rsid w:val="00CD56A1"/>
    <w:rsid w:val="00D054F7"/>
    <w:rsid w:val="00D1618B"/>
    <w:rsid w:val="00D2559B"/>
    <w:rsid w:val="00D4355D"/>
    <w:rsid w:val="00D54B0D"/>
    <w:rsid w:val="00D6125D"/>
    <w:rsid w:val="00D705C6"/>
    <w:rsid w:val="00D75412"/>
    <w:rsid w:val="00D8569A"/>
    <w:rsid w:val="00D91A5D"/>
    <w:rsid w:val="00D94958"/>
    <w:rsid w:val="00DB3CAE"/>
    <w:rsid w:val="00DC1E87"/>
    <w:rsid w:val="00DC5DA6"/>
    <w:rsid w:val="00DF35E6"/>
    <w:rsid w:val="00E21DD0"/>
    <w:rsid w:val="00E23344"/>
    <w:rsid w:val="00E26EFE"/>
    <w:rsid w:val="00E34F0E"/>
    <w:rsid w:val="00ED2953"/>
    <w:rsid w:val="00F00193"/>
    <w:rsid w:val="00F053C5"/>
    <w:rsid w:val="00F13BA7"/>
    <w:rsid w:val="00F41B80"/>
    <w:rsid w:val="00F562DE"/>
    <w:rsid w:val="00F70251"/>
    <w:rsid w:val="00F7614A"/>
    <w:rsid w:val="00F81966"/>
    <w:rsid w:val="00F949FA"/>
    <w:rsid w:val="00FA3F4F"/>
    <w:rsid w:val="00FB0E54"/>
    <w:rsid w:val="00FC1C29"/>
    <w:rsid w:val="00FC76E8"/>
    <w:rsid w:val="00FD5B32"/>
    <w:rsid w:val="00FD78B7"/>
    <w:rsid w:val="00F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35E6"/>
    <w:pPr>
      <w:keepNext/>
      <w:jc w:val="both"/>
      <w:outlineLvl w:val="2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35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3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3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3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F35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35E6"/>
    <w:pPr>
      <w:keepNext/>
      <w:jc w:val="both"/>
      <w:outlineLvl w:val="2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35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35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3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F35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DF3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36142;fld=134;dst=1003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OS;n=36142;fld=134;dst=1003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36142;fld=134;dst=1003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36142;fld=134;dst=1003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dcterms:created xsi:type="dcterms:W3CDTF">2019-10-10T08:09:00Z</dcterms:created>
  <dcterms:modified xsi:type="dcterms:W3CDTF">2021-10-13T13:14:00Z</dcterms:modified>
</cp:coreProperties>
</file>