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bookmarkStart w:id="0" w:name="_GoBack"/>
      <w:bookmarkEnd w:id="0"/>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5306FF" w:rsidRPr="009F1AA0">
        <w:rPr>
          <w:rFonts w:ascii="Times New Roman" w:eastAsia="Times New Roman" w:hAnsi="Times New Roman" w:cs="Times New Roman"/>
          <w:color w:val="000000"/>
          <w:sz w:val="24"/>
          <w:szCs w:val="24"/>
          <w:lang w:eastAsia="ru-RU"/>
        </w:rPr>
        <w:t xml:space="preserve"> </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F462C9"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A81E8E"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710783" w:rsidRPr="00710783">
        <w:rPr>
          <w:b/>
          <w:color w:val="000000"/>
          <w:szCs w:val="28"/>
        </w:rPr>
        <w:t xml:space="preserve">картриджей </w:t>
      </w:r>
      <w:r w:rsidR="003475FE" w:rsidRPr="003475FE">
        <w:rPr>
          <w:b/>
          <w:color w:val="000000"/>
          <w:szCs w:val="28"/>
        </w:rPr>
        <w:t>картриджей Canon</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1D31A8" w:rsidRDefault="006A7489" w:rsidP="006A7489">
      <w:pPr>
        <w:pStyle w:val="a0"/>
        <w:widowControl w:val="0"/>
        <w:numPr>
          <w:ilvl w:val="0"/>
          <w:numId w:val="0"/>
        </w:numPr>
        <w:tabs>
          <w:tab w:val="left" w:pos="708"/>
        </w:tabs>
        <w:spacing w:line="240" w:lineRule="auto"/>
        <w:jc w:val="center"/>
        <w:rPr>
          <w:color w:val="000000"/>
          <w:sz w:val="24"/>
          <w:szCs w:val="24"/>
          <w:lang w:val="en-US"/>
        </w:rPr>
      </w:pPr>
      <w:r w:rsidRPr="008D1D68">
        <w:rPr>
          <w:color w:val="000000"/>
          <w:sz w:val="24"/>
          <w:szCs w:val="24"/>
        </w:rPr>
        <w:t>от «</w:t>
      </w:r>
      <w:r w:rsidR="003475FE" w:rsidRPr="009F1AA0">
        <w:rPr>
          <w:color w:val="000000"/>
          <w:sz w:val="24"/>
          <w:szCs w:val="24"/>
        </w:rPr>
        <w:t>2</w:t>
      </w:r>
      <w:r w:rsidR="003475FE">
        <w:rPr>
          <w:color w:val="000000"/>
          <w:sz w:val="24"/>
          <w:szCs w:val="24"/>
          <w:lang w:val="en-US"/>
        </w:rPr>
        <w:t>6</w:t>
      </w:r>
      <w:r w:rsidR="00A51151">
        <w:rPr>
          <w:color w:val="000000"/>
          <w:sz w:val="24"/>
          <w:szCs w:val="24"/>
        </w:rPr>
        <w:t xml:space="preserve">» </w:t>
      </w:r>
      <w:r w:rsidR="00284857">
        <w:rPr>
          <w:color w:val="000000"/>
          <w:sz w:val="24"/>
          <w:szCs w:val="24"/>
        </w:rPr>
        <w:t>апреля</w:t>
      </w:r>
      <w:r w:rsidR="00364135">
        <w:rPr>
          <w:color w:val="000000"/>
          <w:sz w:val="24"/>
          <w:szCs w:val="24"/>
        </w:rPr>
        <w:t xml:space="preserve">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3475FE">
        <w:rPr>
          <w:color w:val="000000"/>
          <w:sz w:val="24"/>
          <w:szCs w:val="24"/>
        </w:rPr>
        <w:t>000043</w:t>
      </w:r>
      <w:r w:rsidR="003475FE">
        <w:rPr>
          <w:color w:val="000000"/>
          <w:sz w:val="24"/>
          <w:szCs w:val="24"/>
          <w:lang w:val="en-US"/>
        </w:rPr>
        <w:t>833</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1" w:name="_I__ОБЩИЕ"/>
      <w:bookmarkStart w:id="2" w:name="_Toc176759474"/>
      <w:bookmarkEnd w:id="1"/>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2"/>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3" w:name="_Toc69728941"/>
      <w:bookmarkStart w:id="4" w:name="_Toc57314615"/>
      <w:bookmarkStart w:id="5" w:name="_Toc55305369"/>
      <w:bookmarkStart w:id="6" w:name="_Toc55285335"/>
      <w:bookmarkStart w:id="7" w:name="_Toc98253962"/>
      <w:bookmarkStart w:id="8" w:name="_Toc234730372"/>
      <w:bookmarkStart w:id="9"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3"/>
      <w:bookmarkEnd w:id="4"/>
      <w:bookmarkEnd w:id="5"/>
      <w:bookmarkEnd w:id="6"/>
      <w:r>
        <w:rPr>
          <w:b/>
          <w:bCs/>
          <w:sz w:val="24"/>
          <w:szCs w:val="24"/>
        </w:rPr>
        <w:t xml:space="preserve">процедуре </w:t>
      </w:r>
      <w:bookmarkEnd w:id="7"/>
      <w:r>
        <w:rPr>
          <w:b/>
          <w:bCs/>
          <w:sz w:val="24"/>
          <w:szCs w:val="24"/>
        </w:rPr>
        <w:t xml:space="preserve">запроса </w:t>
      </w:r>
      <w:bookmarkStart w:id="10" w:name="_Ref93209175"/>
      <w:bookmarkEnd w:id="8"/>
      <w:bookmarkEnd w:id="9"/>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1" w:name="_Toc234730373"/>
      <w:bookmarkStart w:id="12" w:name="_Toc176759476"/>
      <w:bookmarkStart w:id="13" w:name="_Toc98253963"/>
      <w:bookmarkStart w:id="14" w:name="_Toc69728943"/>
      <w:bookmarkStart w:id="15" w:name="_Toc57314617"/>
      <w:bookmarkStart w:id="16" w:name="_Ref56231144"/>
      <w:bookmarkStart w:id="17" w:name="_Ref56231140"/>
      <w:bookmarkStart w:id="18" w:name="_Ref55313246"/>
      <w:bookmarkStart w:id="19" w:name="_Toc55305370"/>
      <w:bookmarkStart w:id="20" w:name="_Toc55285336"/>
      <w:bookmarkStart w:id="21" w:name="_Toc518119237"/>
      <w:bookmarkEnd w:id="10"/>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2" w:name="_Toc66354324"/>
      <w:bookmarkStart w:id="23" w:name="_Toc69728944"/>
      <w:bookmarkStart w:id="24" w:name="_Toc57314619"/>
      <w:bookmarkStart w:id="25" w:name="_Toc55305373"/>
      <w:bookmarkStart w:id="26" w:name="_Toc55285339"/>
      <w:bookmarkEnd w:id="11"/>
      <w:bookmarkEnd w:id="12"/>
      <w:bookmarkEnd w:id="13"/>
      <w:bookmarkEnd w:id="14"/>
      <w:bookmarkEnd w:id="15"/>
      <w:bookmarkEnd w:id="16"/>
      <w:bookmarkEnd w:id="17"/>
      <w:bookmarkEnd w:id="18"/>
      <w:bookmarkEnd w:id="19"/>
      <w:bookmarkEnd w:id="20"/>
      <w:bookmarkEnd w:id="21"/>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284857">
        <w:rPr>
          <w:sz w:val="24"/>
          <w:szCs w:val="24"/>
        </w:rPr>
        <w:t>24</w:t>
      </w:r>
      <w:r w:rsidR="006A7489">
        <w:rPr>
          <w:sz w:val="24"/>
          <w:szCs w:val="24"/>
        </w:rPr>
        <w:t>.</w:t>
      </w:r>
      <w:r w:rsidR="00187FFA">
        <w:rPr>
          <w:sz w:val="24"/>
          <w:szCs w:val="24"/>
        </w:rPr>
        <w:t>0</w:t>
      </w:r>
      <w:r w:rsidR="00284857">
        <w:rPr>
          <w:sz w:val="24"/>
          <w:szCs w:val="24"/>
        </w:rPr>
        <w:t>3</w:t>
      </w:r>
      <w:r w:rsidR="006A7489">
        <w:rPr>
          <w:sz w:val="24"/>
          <w:szCs w:val="24"/>
        </w:rPr>
        <w:t>.20</w:t>
      </w:r>
      <w:r w:rsidR="00187FFA">
        <w:rPr>
          <w:sz w:val="24"/>
          <w:szCs w:val="24"/>
        </w:rPr>
        <w:t>2</w:t>
      </w:r>
      <w:r w:rsidR="00284857">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7" w:name="_Toc55305372"/>
      <w:bookmarkStart w:id="28" w:name="_Toc55285338"/>
      <w:bookmarkStart w:id="29" w:name="_Toc234730374"/>
      <w:bookmarkStart w:id="30" w:name="_Toc176759478"/>
      <w:bookmarkStart w:id="31" w:name="_Toc98253965"/>
      <w:bookmarkStart w:id="32" w:name="_Toc69728946"/>
      <w:bookmarkStart w:id="33" w:name="_Toc57314621"/>
      <w:bookmarkEnd w:id="22"/>
      <w:bookmarkEnd w:id="23"/>
      <w:bookmarkEnd w:id="24"/>
      <w:bookmarkEnd w:id="25"/>
      <w:bookmarkEnd w:id="26"/>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7"/>
      <w:bookmarkEnd w:id="28"/>
      <w:r>
        <w:rPr>
          <w:b/>
          <w:bCs/>
          <w:sz w:val="24"/>
          <w:szCs w:val="24"/>
        </w:rPr>
        <w:t>положения</w:t>
      </w:r>
      <w:bookmarkEnd w:id="29"/>
      <w:bookmarkEnd w:id="30"/>
      <w:bookmarkEnd w:id="31"/>
      <w:bookmarkEnd w:id="32"/>
      <w:bookmarkEnd w:id="33"/>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www.fabrikant.ru</w:t>
      </w:r>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4"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4"/>
      <w:r>
        <w:rPr>
          <w:b/>
          <w:bCs/>
          <w:sz w:val="24"/>
          <w:szCs w:val="24"/>
        </w:rPr>
        <w:t xml:space="preserve">ЗАПРОСА </w:t>
      </w:r>
      <w:bookmarkStart w:id="35" w:name="_Toc234730376"/>
      <w:bookmarkStart w:id="36" w:name="_Toc176759483"/>
      <w:bookmarkStart w:id="37"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5"/>
      <w:bookmarkEnd w:id="36"/>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деятельность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8" w:name="_Toc234730378"/>
      <w:bookmarkStart w:id="39" w:name="ИНСТРУКЦИИ"/>
      <w:bookmarkStart w:id="40" w:name="_Toc176866215"/>
      <w:bookmarkStart w:id="41" w:name="_Toc176866182"/>
      <w:bookmarkStart w:id="42" w:name="_Toc176759486"/>
      <w:bookmarkStart w:id="43" w:name="_Toc98253982"/>
      <w:bookmarkStart w:id="44" w:name="_Toc69728963"/>
      <w:bookmarkStart w:id="45" w:name="_Toc57314640"/>
      <w:bookmarkStart w:id="46" w:name="_Toc55305378"/>
      <w:bookmarkStart w:id="47" w:name="_Ref55300680"/>
      <w:bookmarkEnd w:id="37"/>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8"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
    </w:p>
    <w:p w:rsidR="001E115D" w:rsidRPr="002E52C8" w:rsidRDefault="001E115D" w:rsidP="001E115D">
      <w:pPr>
        <w:pStyle w:val="5"/>
        <w:rPr>
          <w:rFonts w:ascii="Times New Roman" w:hAnsi="Times New Roman"/>
          <w:sz w:val="24"/>
        </w:rPr>
      </w:pPr>
      <w:bookmarkStart w:id="49" w:name="_Ref414044093"/>
      <w:r w:rsidRPr="002E52C8">
        <w:rPr>
          <w:rFonts w:ascii="Times New Roman" w:hAnsi="Times New Roman"/>
          <w:sz w:val="24"/>
        </w:rPr>
        <w:t>соответствие нормам Гражданского кодекса Российской Федерации;</w:t>
      </w:r>
      <w:bookmarkEnd w:id="49"/>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50" w:name="_Toc69728966"/>
      <w:bookmarkStart w:id="51" w:name="_Toc57314643"/>
      <w:bookmarkStart w:id="52" w:name="_Toc55305381"/>
      <w:bookmarkStart w:id="53" w:name="_Toc55285344"/>
      <w:bookmarkStart w:id="54" w:name="_Ref55280429"/>
      <w:bookmarkStart w:id="55" w:name="_Toc234730380"/>
      <w:bookmarkStart w:id="56" w:name="_Toc176759489"/>
      <w:bookmarkStart w:id="57" w:name="_Toc98253985"/>
      <w:bookmarkEnd w:id="38"/>
      <w:bookmarkEnd w:id="39"/>
      <w:bookmarkEnd w:id="40"/>
      <w:bookmarkEnd w:id="41"/>
      <w:bookmarkEnd w:id="42"/>
      <w:bookmarkEnd w:id="43"/>
      <w:bookmarkEnd w:id="44"/>
      <w:bookmarkEnd w:id="45"/>
      <w:bookmarkEnd w:id="46"/>
      <w:bookmarkEnd w:id="47"/>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50"/>
      <w:bookmarkEnd w:id="51"/>
      <w:bookmarkEnd w:id="52"/>
      <w:bookmarkEnd w:id="53"/>
      <w:bookmarkEnd w:id="54"/>
      <w:r>
        <w:rPr>
          <w:b/>
          <w:bCs/>
          <w:sz w:val="24"/>
          <w:szCs w:val="24"/>
        </w:rPr>
        <w:t xml:space="preserve">Извещение </w:t>
      </w:r>
      <w:bookmarkEnd w:id="55"/>
      <w:bookmarkEnd w:id="56"/>
      <w:bookmarkEnd w:id="57"/>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8" w:name="_Toc57314646"/>
      <w:bookmarkStart w:id="59" w:name="_Ref56235653"/>
      <w:bookmarkStart w:id="60" w:name="_Ref56233643"/>
      <w:bookmarkStart w:id="61"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 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средств в качестве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согласно пункта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2" w:name="_Ref55279015"/>
      <w:bookmarkStart w:id="63"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.pdf, .rar, .zip, .tif, .jpeg. </w:t>
      </w:r>
    </w:p>
    <w:bookmarkEnd w:id="62"/>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3"/>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разместит разъяснения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8"/>
      <w:bookmarkEnd w:id="59"/>
      <w:bookmarkEnd w:id="60"/>
      <w:bookmarkEnd w:id="61"/>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r w:rsidR="007A1148" w:rsidRPr="00A721A8">
        <w:rPr>
          <w:rStyle w:val="a5"/>
          <w:sz w:val="24"/>
          <w:szCs w:val="24"/>
          <w:lang w:val="en-US"/>
        </w:rPr>
        <w:t>zakupki</w:t>
      </w:r>
      <w:r w:rsidR="007A1148" w:rsidRPr="00BE4C21">
        <w:rPr>
          <w:rStyle w:val="a5"/>
          <w:sz w:val="24"/>
          <w:szCs w:val="24"/>
        </w:rPr>
        <w:t>.</w:t>
      </w:r>
      <w:r w:rsidR="007A1148" w:rsidRPr="00A721A8">
        <w:rPr>
          <w:rStyle w:val="a5"/>
          <w:sz w:val="24"/>
          <w:szCs w:val="24"/>
          <w:lang w:val="en-US"/>
        </w:rPr>
        <w:t>gov</w:t>
      </w:r>
      <w:r w:rsidR="007A1148" w:rsidRPr="00BE4C21">
        <w:rPr>
          <w:rStyle w:val="a5"/>
          <w:sz w:val="24"/>
          <w:szCs w:val="24"/>
        </w:rPr>
        <w:t>.</w:t>
      </w:r>
      <w:r w:rsidR="007A1148" w:rsidRPr="00A721A8">
        <w:rPr>
          <w:rStyle w:val="a5"/>
          <w:sz w:val="24"/>
          <w:szCs w:val="24"/>
          <w:lang w:val="en-US"/>
        </w:rPr>
        <w:t>ru</w:t>
      </w:r>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 xml:space="preserve">Протокола об оценке и сопоставлении Заявок Участников запроса котировок. 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 xml:space="preserve">котировок, Победитель запроса котировок обязан подписать со своей стороны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Заказчиком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В случае признания участника запроса котировок, котировочной заявке которого присвоен второй номер, Заказчиком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3.9.4. Заказчик (организатор) в течение 3-х рабочих дней с даты заключения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 xml:space="preserve">е, предусмотренных в извещении </w:t>
      </w:r>
      <w:r w:rsidRPr="005315D3">
        <w:rPr>
          <w:sz w:val="24"/>
          <w:szCs w:val="24"/>
        </w:rPr>
        <w:t>. В случае непредставления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3.10.3. В случае,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r w:rsidR="00422C7C">
        <w:rPr>
          <w:sz w:val="24"/>
          <w:szCs w:val="24"/>
        </w:rPr>
        <w:t>Заявки</w:t>
      </w:r>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 xml:space="preserve">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средств производится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4" w:name="_Toc178151871"/>
      <w:bookmarkStart w:id="65" w:name="_Toc178159436"/>
      <w:bookmarkStart w:id="66" w:name="_Toc178159496"/>
      <w:bookmarkStart w:id="67" w:name="_Toc178159733"/>
      <w:bookmarkStart w:id="68" w:name="_Toc178159874"/>
      <w:bookmarkStart w:id="69" w:name="_Toc178160039"/>
      <w:bookmarkStart w:id="70" w:name="_Toc178151875"/>
      <w:bookmarkStart w:id="71" w:name="_Toc178159440"/>
      <w:bookmarkStart w:id="72" w:name="_Toc178159500"/>
      <w:bookmarkStart w:id="73" w:name="_Toc178159737"/>
      <w:bookmarkStart w:id="74" w:name="_Toc178159878"/>
      <w:bookmarkStart w:id="75" w:name="_Toc178160043"/>
      <w:bookmarkStart w:id="76" w:name="Информационная_карта_аукциона"/>
      <w:bookmarkStart w:id="77" w:name="_Toc234730392"/>
      <w:bookmarkStart w:id="78" w:name="_Toc176866217"/>
      <w:bookmarkStart w:id="79" w:name="_Toc176866183"/>
      <w:bookmarkStart w:id="80" w:name="_Toc176759502"/>
      <w:bookmarkStart w:id="81" w:name="_Toc98254008"/>
      <w:bookmarkStart w:id="82" w:name="_Toc69728985"/>
      <w:bookmarkStart w:id="83" w:name="_Toc57314671"/>
      <w:bookmarkStart w:id="84" w:name="_Toc55305390"/>
      <w:bookmarkStart w:id="85" w:name="_Toc55285361"/>
      <w:bookmarkStart w:id="86" w:name="_Ref55280368"/>
      <w:bookmarkStart w:id="87" w:name="_Toc234730393"/>
      <w:bookmarkStart w:id="88" w:name="ФОРМЫ"/>
      <w:bookmarkEnd w:id="64"/>
      <w:bookmarkEnd w:id="65"/>
      <w:bookmarkEnd w:id="66"/>
      <w:bookmarkEnd w:id="67"/>
      <w:bookmarkEnd w:id="68"/>
      <w:bookmarkEnd w:id="69"/>
      <w:bookmarkEnd w:id="70"/>
      <w:bookmarkEnd w:id="71"/>
      <w:bookmarkEnd w:id="72"/>
      <w:bookmarkEnd w:id="73"/>
      <w:bookmarkEnd w:id="74"/>
      <w:bookmarkEnd w:id="75"/>
      <w:bookmarkEnd w:id="76"/>
      <w:bookmarkEnd w:id="77"/>
      <w:r>
        <w:rPr>
          <w:b/>
          <w:bCs/>
          <w:sz w:val="24"/>
          <w:szCs w:val="24"/>
        </w:rPr>
        <w:lastRenderedPageBreak/>
        <w:t xml:space="preserve">IV. ФОРМЫ ДОКУМЕНТОВ, ВКЛЮЧАЕМЫХ В </w:t>
      </w:r>
      <w:bookmarkEnd w:id="78"/>
      <w:bookmarkEnd w:id="79"/>
      <w:bookmarkEnd w:id="80"/>
      <w:bookmarkEnd w:id="81"/>
      <w:bookmarkEnd w:id="82"/>
      <w:bookmarkEnd w:id="83"/>
      <w:bookmarkEnd w:id="84"/>
      <w:bookmarkEnd w:id="85"/>
      <w:bookmarkEnd w:id="86"/>
      <w:bookmarkEnd w:id="87"/>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9" w:name="_Toc234730394"/>
      <w:bookmarkStart w:id="90" w:name="_Toc176759503"/>
      <w:bookmarkStart w:id="91" w:name="_Toc98254009"/>
      <w:bookmarkStart w:id="92" w:name="_Toc69728986"/>
      <w:bookmarkStart w:id="93" w:name="_Toc57314672"/>
      <w:bookmarkStart w:id="94" w:name="_Ref55336310"/>
      <w:bookmarkEnd w:id="88"/>
      <w:r>
        <w:rPr>
          <w:b/>
          <w:bCs/>
          <w:sz w:val="24"/>
          <w:szCs w:val="24"/>
        </w:rPr>
        <w:t xml:space="preserve">4.1. </w:t>
      </w:r>
      <w:bookmarkEnd w:id="89"/>
      <w:bookmarkEnd w:id="90"/>
      <w:bookmarkEnd w:id="91"/>
      <w:bookmarkEnd w:id="92"/>
      <w:bookmarkEnd w:id="93"/>
      <w:bookmarkEnd w:id="94"/>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5" w:name="_Toc234730395"/>
      <w:bookmarkStart w:id="96" w:name="_Toc176866218"/>
      <w:bookmarkStart w:id="97" w:name="_Toc176759507"/>
      <w:bookmarkStart w:id="98" w:name="_Toc98254033"/>
      <w:bookmarkStart w:id="99" w:name="_Toc69728989"/>
      <w:bookmarkStart w:id="100" w:name="_Toc57314675"/>
      <w:bookmarkStart w:id="101" w:name="_Ref55336359"/>
      <w:bookmarkStart w:id="102"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на право заключения договора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от ___________________ на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п/п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будет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5"/>
      <w:bookmarkEnd w:id="96"/>
      <w:bookmarkEnd w:id="97"/>
      <w:bookmarkEnd w:id="98"/>
      <w:bookmarkEnd w:id="99"/>
      <w:bookmarkEnd w:id="100"/>
      <w:bookmarkEnd w:id="101"/>
      <w:bookmarkEnd w:id="102"/>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организации и ее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Указать является ли субъектом малого и среднего предпринимательства (да/нет), с приложением необходимых подтверждающих документов согласно законодательства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A81E8E" w:rsidRDefault="00A81E8E" w:rsidP="00A81E8E">
            <w:pPr>
              <w:pStyle w:val="a0"/>
              <w:widowControl w:val="0"/>
              <w:numPr>
                <w:ilvl w:val="0"/>
                <w:numId w:val="0"/>
              </w:numPr>
              <w:tabs>
                <w:tab w:val="left" w:pos="708"/>
              </w:tabs>
              <w:spacing w:line="240" w:lineRule="auto"/>
              <w:jc w:val="center"/>
              <w:rPr>
                <w:sz w:val="24"/>
                <w:szCs w:val="24"/>
                <w:lang w:eastAsia="en-US"/>
              </w:rPr>
            </w:pPr>
            <w:r w:rsidRPr="00A81E8E">
              <w:rPr>
                <w:sz w:val="24"/>
                <w:szCs w:val="24"/>
                <w:lang w:eastAsia="en-US"/>
              </w:rPr>
              <w:t xml:space="preserve">Цена за ед., </w:t>
            </w:r>
            <w:r>
              <w:rPr>
                <w:sz w:val="24"/>
                <w:szCs w:val="24"/>
                <w:lang w:val="en-US" w:eastAsia="en-US"/>
              </w:rPr>
              <w:t>c</w:t>
            </w:r>
            <w:r w:rsidRPr="00A81E8E">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r w:rsidR="00A81E8E" w:rsidTr="00A81E8E">
        <w:tc>
          <w:tcPr>
            <w:tcW w:w="674" w:type="dxa"/>
            <w:tcBorders>
              <w:top w:val="single" w:sz="4" w:space="0" w:color="auto"/>
              <w:left w:val="single" w:sz="4" w:space="0" w:color="auto"/>
              <w:bottom w:val="single" w:sz="4" w:space="0" w:color="auto"/>
              <w:right w:val="single" w:sz="4" w:space="0" w:color="auto"/>
            </w:tcBorders>
            <w:hideMark/>
          </w:tcPr>
          <w:p w:rsidR="00A81E8E" w:rsidRDefault="00A81E8E">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A81E8E" w:rsidRDefault="00A81E8E">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A81E8E" w:rsidRDefault="00A81E8E">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 xml:space="preserve">При оформлении спецификации поставки с наименованиями товаров без указания моделей (партномеров, кодов, артикулов) изделий (согласно требований Извещения), конкретные наименования моделей (партномеров,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п/п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5306FF">
              <w:rPr>
                <w:rFonts w:ascii="Times New Roman" w:eastAsia="Times New Roman" w:hAnsi="Times New Roman" w:cs="Times New Roman"/>
                <w:sz w:val="24"/>
                <w:szCs w:val="24"/>
                <w:lang w:eastAsia="ru-RU"/>
              </w:rPr>
              <w:t>Загороднев Денис Вячеславович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Default="001D31A8" w:rsidP="00171407">
            <w:pPr>
              <w:pStyle w:val="a0"/>
              <w:widowControl w:val="0"/>
              <w:numPr>
                <w:ilvl w:val="0"/>
                <w:numId w:val="0"/>
              </w:numPr>
              <w:tabs>
                <w:tab w:val="left" w:pos="708"/>
              </w:tabs>
              <w:spacing w:line="240" w:lineRule="auto"/>
              <w:ind w:left="567" w:hanging="567"/>
              <w:jc w:val="left"/>
              <w:rPr>
                <w:color w:val="0000FF"/>
                <w:sz w:val="24"/>
                <w:szCs w:val="24"/>
                <w:u w:val="single"/>
                <w:lang w:eastAsia="en-US"/>
              </w:rPr>
            </w:pPr>
            <w:hyperlink r:id="rId10" w:history="1">
              <w:r w:rsidR="00284857" w:rsidRPr="00DF7891">
                <w:rPr>
                  <w:rStyle w:val="a5"/>
                  <w:sz w:val="24"/>
                  <w:szCs w:val="24"/>
                  <w:lang w:val="en-US" w:eastAsia="en-US"/>
                </w:rPr>
                <w:t>info</w:t>
              </w:r>
              <w:r w:rsidR="00284857" w:rsidRPr="00DF7891">
                <w:rPr>
                  <w:rStyle w:val="a5"/>
                  <w:sz w:val="24"/>
                  <w:szCs w:val="24"/>
                  <w:lang w:eastAsia="en-US"/>
                </w:rPr>
                <w:t>@</w:t>
              </w:r>
              <w:r w:rsidR="00284857" w:rsidRPr="00DF7891">
                <w:rPr>
                  <w:rStyle w:val="a5"/>
                  <w:sz w:val="24"/>
                  <w:szCs w:val="24"/>
                  <w:lang w:val="en-US" w:eastAsia="en-US"/>
                </w:rPr>
                <w:t>voentelecom</w:t>
              </w:r>
              <w:r w:rsidR="00284857" w:rsidRPr="00DF7891">
                <w:rPr>
                  <w:rStyle w:val="a5"/>
                  <w:sz w:val="24"/>
                  <w:szCs w:val="24"/>
                  <w:lang w:eastAsia="en-US"/>
                </w:rPr>
                <w:t>.</w:t>
              </w:r>
              <w:r w:rsidR="00284857" w:rsidRPr="00DF7891">
                <w:rPr>
                  <w:rStyle w:val="a5"/>
                  <w:sz w:val="24"/>
                  <w:szCs w:val="24"/>
                  <w:lang w:val="en-US" w:eastAsia="en-US"/>
                </w:rPr>
                <w:t>ru</w:t>
              </w:r>
            </w:hyperlink>
          </w:p>
          <w:p w:rsidR="00284857" w:rsidRPr="00284857" w:rsidRDefault="005306FF"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d</w:t>
            </w:r>
            <w:r w:rsidRPr="009F1AA0">
              <w:rPr>
                <w:color w:val="0000FF"/>
                <w:sz w:val="24"/>
                <w:szCs w:val="24"/>
                <w:u w:val="single"/>
                <w:lang w:eastAsia="en-US"/>
              </w:rPr>
              <w:t>.</w:t>
            </w:r>
            <w:r>
              <w:rPr>
                <w:color w:val="0000FF"/>
                <w:sz w:val="24"/>
                <w:szCs w:val="24"/>
                <w:u w:val="single"/>
                <w:lang w:val="en-US" w:eastAsia="en-US"/>
              </w:rPr>
              <w:t>zagorodnev</w:t>
            </w:r>
            <w:r w:rsidR="00284857" w:rsidRPr="00284857">
              <w:rPr>
                <w:color w:val="0000FF"/>
                <w:sz w:val="24"/>
                <w:szCs w:val="24"/>
                <w:u w:val="single"/>
                <w:lang w:eastAsia="en-US"/>
              </w:rPr>
              <w:t>@</w:t>
            </w:r>
            <w:r w:rsidR="00284857">
              <w:rPr>
                <w:color w:val="0000FF"/>
                <w:sz w:val="24"/>
                <w:szCs w:val="24"/>
                <w:u w:val="single"/>
                <w:lang w:val="en-US" w:eastAsia="en-US"/>
              </w:rPr>
              <w:t>voentelecom</w:t>
            </w:r>
            <w:r w:rsidR="00284857" w:rsidRPr="00284857">
              <w:rPr>
                <w:color w:val="0000FF"/>
                <w:sz w:val="24"/>
                <w:szCs w:val="24"/>
                <w:u w:val="single"/>
                <w:lang w:eastAsia="en-US"/>
              </w:rPr>
              <w:t>.</w:t>
            </w:r>
            <w:r w:rsidR="00284857">
              <w:rPr>
                <w:color w:val="0000FF"/>
                <w:sz w:val="24"/>
                <w:szCs w:val="24"/>
                <w:u w:val="single"/>
                <w:lang w:val="en-US" w:eastAsia="en-US"/>
              </w:rPr>
              <w:t>ru</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0"/>
                <w:lang w:val="en-US" w:eastAsia="ru-RU"/>
              </w:rPr>
              <w:t>Запрос котировок</w:t>
            </w:r>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A81E8E" w:rsidP="00A81E8E">
            <w:pPr>
              <w:widowControl w:val="0"/>
              <w:spacing w:after="0" w:line="240" w:lineRule="auto"/>
              <w:jc w:val="both"/>
              <w:rPr>
                <w:rFonts w:ascii="Times New Roman" w:eastAsiaTheme="minorEastAsia" w:hAnsi="Times New Roman" w:cs="Times New Roman"/>
                <w:sz w:val="24"/>
                <w:szCs w:val="24"/>
              </w:rPr>
            </w:pPr>
            <w:r w:rsidRPr="00A81E8E">
              <w:rPr>
                <w:rFonts w:ascii="Times New Roman" w:hAnsi="Times New Roman" w:cs="Times New Roman"/>
                <w:sz w:val="24"/>
                <w:szCs w:val="24"/>
              </w:rPr>
              <w:t xml:space="preserve">Поставка </w:t>
            </w:r>
            <w:r w:rsidR="003475FE" w:rsidRPr="003475FE">
              <w:rPr>
                <w:rFonts w:ascii="Times New Roman" w:hAnsi="Times New Roman" w:cs="Times New Roman"/>
                <w:sz w:val="24"/>
                <w:szCs w:val="24"/>
              </w:rPr>
              <w:t>картриджей Canon</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FE00F2">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BD1AFD">
              <w:rPr>
                <w:sz w:val="24"/>
                <w:szCs w:val="24"/>
                <w:lang w:eastAsia="en-US"/>
              </w:rPr>
              <w:t>оказания услуг</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проекта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9F1AA0" w:rsidRDefault="003475FE">
            <w:pPr>
              <w:widowControl w:val="0"/>
              <w:spacing w:after="0" w:line="240" w:lineRule="auto"/>
              <w:jc w:val="both"/>
              <w:rPr>
                <w:rFonts w:ascii="Times New Roman" w:eastAsia="Times New Roman" w:hAnsi="Times New Roman" w:cs="Times New Roman"/>
                <w:sz w:val="24"/>
                <w:szCs w:val="24"/>
                <w:lang w:eastAsia="ru-RU"/>
              </w:rPr>
            </w:pPr>
            <w:r w:rsidRPr="001D31A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 </w:t>
            </w:r>
            <w:r w:rsidRPr="001D31A8">
              <w:rPr>
                <w:rFonts w:ascii="Times New Roman" w:eastAsia="Times New Roman" w:hAnsi="Times New Roman" w:cs="Times New Roman"/>
                <w:sz w:val="24"/>
                <w:szCs w:val="24"/>
                <w:lang w:eastAsia="ru-RU"/>
              </w:rPr>
              <w:t>225</w:t>
            </w:r>
            <w:r>
              <w:rPr>
                <w:rFonts w:ascii="Times New Roman" w:eastAsia="Times New Roman" w:hAnsi="Times New Roman" w:cs="Times New Roman"/>
                <w:sz w:val="24"/>
                <w:szCs w:val="24"/>
                <w:lang w:val="en-US" w:eastAsia="ru-RU"/>
              </w:rPr>
              <w:t> </w:t>
            </w:r>
            <w:r w:rsidRPr="001D31A8">
              <w:rPr>
                <w:rFonts w:ascii="Times New Roman" w:eastAsia="Times New Roman" w:hAnsi="Times New Roman" w:cs="Times New Roman"/>
                <w:sz w:val="24"/>
                <w:szCs w:val="24"/>
                <w:lang w:eastAsia="ru-RU"/>
              </w:rPr>
              <w:t>363</w:t>
            </w:r>
            <w:r>
              <w:rPr>
                <w:rFonts w:ascii="Times New Roman" w:eastAsia="Times New Roman" w:hAnsi="Times New Roman" w:cs="Times New Roman"/>
                <w:sz w:val="24"/>
                <w:szCs w:val="24"/>
                <w:lang w:eastAsia="ru-RU"/>
              </w:rPr>
              <w:t>,</w:t>
            </w:r>
            <w:r w:rsidRPr="001D31A8">
              <w:rPr>
                <w:rFonts w:ascii="Times New Roman" w:eastAsia="Times New Roman" w:hAnsi="Times New Roman" w:cs="Times New Roman"/>
                <w:sz w:val="24"/>
                <w:szCs w:val="24"/>
                <w:lang w:eastAsia="ru-RU"/>
              </w:rPr>
              <w:t>29</w:t>
            </w:r>
            <w:r w:rsidR="006B688B">
              <w:rPr>
                <w:rFonts w:ascii="Times New Roman" w:eastAsia="Times New Roman" w:hAnsi="Times New Roman" w:cs="Times New Roman"/>
                <w:sz w:val="24"/>
                <w:szCs w:val="24"/>
                <w:lang w:eastAsia="ru-RU"/>
              </w:rPr>
              <w:t xml:space="preserve"> руб.</w:t>
            </w:r>
            <w:r w:rsidR="002C5292">
              <w:rPr>
                <w:rFonts w:ascii="Times New Roman" w:eastAsia="Times New Roman" w:hAnsi="Times New Roman" w:cs="Times New Roman"/>
                <w:sz w:val="24"/>
                <w:szCs w:val="24"/>
                <w:lang w:eastAsia="ru-RU"/>
              </w:rPr>
              <w:t xml:space="preserve"> в том числе НДС </w:t>
            </w:r>
            <w:r w:rsidR="009F1AA0" w:rsidRPr="009F1A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1 854 469,41</w:t>
            </w:r>
            <w:r w:rsidR="009F1AA0">
              <w:rPr>
                <w:rFonts w:ascii="Times New Roman" w:eastAsia="Times New Roman" w:hAnsi="Times New Roman" w:cs="Times New Roman"/>
                <w:sz w:val="24"/>
                <w:szCs w:val="24"/>
                <w:lang w:eastAsia="ru-RU"/>
              </w:rPr>
              <w:t xml:space="preserve"> руб. без учета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284857" w:rsidRDefault="00284857" w:rsidP="00B9568E">
            <w:pPr>
              <w:pStyle w:val="a0"/>
              <w:widowControl w:val="0"/>
              <w:numPr>
                <w:ilvl w:val="0"/>
                <w:numId w:val="0"/>
              </w:numPr>
              <w:tabs>
                <w:tab w:val="left" w:pos="708"/>
              </w:tabs>
              <w:spacing w:line="240" w:lineRule="auto"/>
              <w:rPr>
                <w:sz w:val="24"/>
                <w:szCs w:val="24"/>
                <w:lang w:eastAsia="en-US"/>
              </w:rPr>
            </w:pPr>
            <w:r w:rsidRPr="00284857">
              <w:rPr>
                <w:sz w:val="24"/>
                <w:szCs w:val="24"/>
                <w:lang w:eastAsia="en-US"/>
              </w:rPr>
              <w:t xml:space="preserve">Начальная (максимальная) цена сформирована методом сопоставимых рыночных цен на основании </w:t>
            </w:r>
            <w:r w:rsidR="00737930">
              <w:rPr>
                <w:sz w:val="24"/>
                <w:szCs w:val="24"/>
                <w:lang w:eastAsia="en-US"/>
              </w:rPr>
              <w:t>минимального</w:t>
            </w:r>
            <w:r w:rsidR="00737930" w:rsidRPr="00284857">
              <w:rPr>
                <w:sz w:val="24"/>
                <w:szCs w:val="24"/>
                <w:lang w:eastAsia="en-US"/>
              </w:rPr>
              <w:t xml:space="preserve"> </w:t>
            </w:r>
            <w:r w:rsidRPr="00284857">
              <w:rPr>
                <w:sz w:val="24"/>
                <w:szCs w:val="24"/>
                <w:lang w:eastAsia="en-US"/>
              </w:rPr>
              <w:t>значения из полученных коммерческих предложений от потенциальных поставщиков продукции при проведении анализа рынка.</w:t>
            </w:r>
          </w:p>
          <w:p w:rsidR="00B9568E" w:rsidRPr="004969F9" w:rsidRDefault="00B9568E" w:rsidP="00A81E8E">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xml:space="preserve">, её гарантийное обслуживание, </w:t>
            </w:r>
            <w:r w:rsidRPr="00BE1D73">
              <w:rPr>
                <w:sz w:val="24"/>
                <w:szCs w:val="24"/>
              </w:rPr>
              <w:lastRenderedPageBreak/>
              <w:t>сто</w:t>
            </w:r>
            <w:r w:rsidRPr="004969F9">
              <w:rPr>
                <w:sz w:val="24"/>
                <w:szCs w:val="24"/>
              </w:rPr>
              <w:t>имость тары, упаковки, маркировки, погрузки, разгрузки, стоимость доставки и сборки товара в месте поставки в пределах РФ, все налоги и пошлины (в т.ч.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Согласно текста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pdf. Документы должны быть оформлены согласно требований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A93750" w:rsidRDefault="00710783" w:rsidP="005306FF">
            <w:pPr>
              <w:pStyle w:val="a0"/>
              <w:widowControl w:val="0"/>
              <w:numPr>
                <w:ilvl w:val="0"/>
                <w:numId w:val="0"/>
              </w:numPr>
              <w:tabs>
                <w:tab w:val="left" w:pos="708"/>
              </w:tabs>
              <w:spacing w:line="240" w:lineRule="auto"/>
              <w:rPr>
                <w:sz w:val="24"/>
                <w:szCs w:val="24"/>
                <w:lang w:eastAsia="en-US"/>
              </w:rPr>
            </w:pPr>
            <w:r>
              <w:rPr>
                <w:rFonts w:eastAsia="Calibri"/>
                <w:sz w:val="24"/>
                <w:szCs w:val="24"/>
              </w:rPr>
              <w:t>Не устанавливается</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п/п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(Кц)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Кц=Мах* Цмин/ Цоц</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Цмин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Цоц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r>
              <w:rPr>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Pr>
                <w:sz w:val="24"/>
                <w:szCs w:val="24"/>
              </w:rPr>
              <w:lastRenderedPageBreak/>
              <w:t>иностранного государства, работам, услугам, выполняемым, оказываемым иностранными лицами</w:t>
            </w:r>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lastRenderedPageBreak/>
              <w:t xml:space="preserve">Устанавливается в соответствии с постановлением Правительства Российской Федерации от 16 </w:t>
            </w:r>
            <w:r w:rsidRPr="00270E1F">
              <w:rPr>
                <w:sz w:val="24"/>
                <w:szCs w:val="24"/>
              </w:rPr>
              <w:lastRenderedPageBreak/>
              <w:t xml:space="preserve">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69015E" w:rsidP="009E7AFD">
            <w:pPr>
              <w:pStyle w:val="a0"/>
              <w:widowControl w:val="0"/>
              <w:numPr>
                <w:ilvl w:val="0"/>
                <w:numId w:val="0"/>
              </w:numPr>
              <w:tabs>
                <w:tab w:val="left" w:pos="708"/>
              </w:tabs>
              <w:spacing w:line="240" w:lineRule="auto"/>
              <w:rPr>
                <w:sz w:val="24"/>
                <w:szCs w:val="24"/>
              </w:rPr>
            </w:pPr>
            <w:r w:rsidRPr="0069015E">
              <w:rPr>
                <w:sz w:val="24"/>
                <w:szCs w:val="24"/>
              </w:rPr>
              <w:lastRenderedPageBreak/>
              <w:t>В случае если заявки участников процедуры будут содержать предложения о поставке товаров российского происхождения, выполнении работ, оказании услуг российскими лицами  и предложения о поставке товаров иностранного происхождения, выполнении работ, оказании услуг иностранными лицами,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(при этом стоимость товаров российского происхождения, стоимость работ, услуг, выполняемых, оказываемых российскими лицами, должна составлять не менее 50 процентов стоимости всех предложенных таким участником товаров, работ, услуг). При  заключении и исполнении  договора,  заключенного с таким участником   закупки,   которому   предоставлен    приоритет,  не  допускается  замена страны  происхождения  товаров.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886652">
              <w:rPr>
                <w:sz w:val="24"/>
                <w:szCs w:val="24"/>
                <w:lang w:eastAsia="en-US"/>
              </w:rPr>
              <w:t>«</w:t>
            </w:r>
            <w:r w:rsidR="003475FE">
              <w:rPr>
                <w:sz w:val="24"/>
                <w:szCs w:val="24"/>
                <w:lang w:eastAsia="en-US"/>
              </w:rPr>
              <w:t xml:space="preserve">  </w:t>
            </w:r>
            <w:r w:rsidR="00886652">
              <w:rPr>
                <w:sz w:val="24"/>
                <w:szCs w:val="24"/>
                <w:lang w:eastAsia="en-US"/>
              </w:rPr>
              <w:t>» апреля</w:t>
            </w:r>
            <w:r w:rsidR="00886652"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886652">
              <w:rPr>
                <w:sz w:val="24"/>
                <w:szCs w:val="24"/>
                <w:lang w:eastAsia="en-US"/>
              </w:rPr>
              <w:t>«</w:t>
            </w:r>
            <w:r w:rsidR="003475FE">
              <w:rPr>
                <w:sz w:val="24"/>
                <w:szCs w:val="24"/>
                <w:lang w:eastAsia="en-US"/>
              </w:rPr>
              <w:t xml:space="preserve">  </w:t>
            </w:r>
            <w:r w:rsidR="00886652" w:rsidRPr="00270E1F">
              <w:rPr>
                <w:sz w:val="24"/>
                <w:szCs w:val="24"/>
                <w:lang w:eastAsia="en-US"/>
              </w:rPr>
              <w:t>»</w:t>
            </w:r>
            <w:r w:rsidR="00886652">
              <w:rPr>
                <w:sz w:val="24"/>
                <w:szCs w:val="24"/>
                <w:lang w:eastAsia="en-US"/>
              </w:rPr>
              <w:t xml:space="preserve"> мая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886652" w:rsidP="001D31A8">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sidR="003475FE">
              <w:rPr>
                <w:sz w:val="24"/>
                <w:szCs w:val="24"/>
                <w:lang w:eastAsia="en-US"/>
              </w:rPr>
              <w:t xml:space="preserve">  </w:t>
            </w:r>
            <w:r w:rsidRPr="00270E1F">
              <w:rPr>
                <w:sz w:val="24"/>
                <w:szCs w:val="24"/>
                <w:lang w:eastAsia="en-US"/>
              </w:rPr>
              <w:t>»</w:t>
            </w:r>
            <w:r>
              <w:rPr>
                <w:sz w:val="24"/>
                <w:szCs w:val="24"/>
                <w:lang w:val="en-US" w:eastAsia="en-US"/>
              </w:rPr>
              <w:t xml:space="preserve"> </w:t>
            </w:r>
            <w:r>
              <w:rPr>
                <w:sz w:val="24"/>
                <w:szCs w:val="24"/>
                <w:lang w:eastAsia="en-US"/>
              </w:rPr>
              <w:t xml:space="preserve">мая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886652">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sidR="003475FE">
              <w:rPr>
                <w:sz w:val="24"/>
                <w:szCs w:val="24"/>
                <w:lang w:eastAsia="en-US"/>
              </w:rPr>
              <w:t xml:space="preserve">  </w:t>
            </w:r>
            <w:r w:rsidRPr="00270E1F">
              <w:rPr>
                <w:sz w:val="24"/>
                <w:szCs w:val="24"/>
                <w:lang w:eastAsia="en-US"/>
              </w:rPr>
              <w:t>»</w:t>
            </w:r>
            <w:r>
              <w:rPr>
                <w:sz w:val="24"/>
                <w:szCs w:val="24"/>
                <w:lang w:val="en-US" w:eastAsia="en-US"/>
              </w:rPr>
              <w:t xml:space="preserve"> </w:t>
            </w:r>
            <w:r>
              <w:rPr>
                <w:sz w:val="24"/>
                <w:szCs w:val="24"/>
                <w:lang w:eastAsia="en-US"/>
              </w:rPr>
              <w:t xml:space="preserve">мая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31D6"/>
    <w:rsid w:val="000B2676"/>
    <w:rsid w:val="000B7A68"/>
    <w:rsid w:val="000C3FBC"/>
    <w:rsid w:val="000C7D6E"/>
    <w:rsid w:val="000F0A1A"/>
    <w:rsid w:val="000F35B9"/>
    <w:rsid w:val="000F5DDE"/>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5DFA"/>
    <w:rsid w:val="00187E95"/>
    <w:rsid w:val="00187FFA"/>
    <w:rsid w:val="00196880"/>
    <w:rsid w:val="00197203"/>
    <w:rsid w:val="001A4E93"/>
    <w:rsid w:val="001B4DD8"/>
    <w:rsid w:val="001C1D84"/>
    <w:rsid w:val="001C1E72"/>
    <w:rsid w:val="001D0259"/>
    <w:rsid w:val="001D0AE6"/>
    <w:rsid w:val="001D1C77"/>
    <w:rsid w:val="001D3174"/>
    <w:rsid w:val="001D31A8"/>
    <w:rsid w:val="001E0367"/>
    <w:rsid w:val="001E115D"/>
    <w:rsid w:val="001E1504"/>
    <w:rsid w:val="001F6736"/>
    <w:rsid w:val="00211DB8"/>
    <w:rsid w:val="00211ECB"/>
    <w:rsid w:val="00222B29"/>
    <w:rsid w:val="0022359D"/>
    <w:rsid w:val="00226EDE"/>
    <w:rsid w:val="00246B87"/>
    <w:rsid w:val="00246E2F"/>
    <w:rsid w:val="00250699"/>
    <w:rsid w:val="002576EF"/>
    <w:rsid w:val="00257A50"/>
    <w:rsid w:val="00267F99"/>
    <w:rsid w:val="00270E1F"/>
    <w:rsid w:val="0027119B"/>
    <w:rsid w:val="00271998"/>
    <w:rsid w:val="00271B3A"/>
    <w:rsid w:val="002776BF"/>
    <w:rsid w:val="00280377"/>
    <w:rsid w:val="0028485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475FE"/>
    <w:rsid w:val="00354534"/>
    <w:rsid w:val="003609F5"/>
    <w:rsid w:val="0036413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24DA"/>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7029"/>
    <w:rsid w:val="004D0658"/>
    <w:rsid w:val="004D3862"/>
    <w:rsid w:val="004E2F29"/>
    <w:rsid w:val="004E5CF8"/>
    <w:rsid w:val="004F201F"/>
    <w:rsid w:val="004F34E0"/>
    <w:rsid w:val="0050027C"/>
    <w:rsid w:val="005117EB"/>
    <w:rsid w:val="0051216C"/>
    <w:rsid w:val="00514086"/>
    <w:rsid w:val="00516775"/>
    <w:rsid w:val="005300D7"/>
    <w:rsid w:val="005306FF"/>
    <w:rsid w:val="005315D3"/>
    <w:rsid w:val="005375F0"/>
    <w:rsid w:val="005426D8"/>
    <w:rsid w:val="00543ED0"/>
    <w:rsid w:val="00546713"/>
    <w:rsid w:val="005622CE"/>
    <w:rsid w:val="00567D70"/>
    <w:rsid w:val="00580616"/>
    <w:rsid w:val="00586FC0"/>
    <w:rsid w:val="00587D41"/>
    <w:rsid w:val="005A5988"/>
    <w:rsid w:val="005C1656"/>
    <w:rsid w:val="005C1C65"/>
    <w:rsid w:val="005C462E"/>
    <w:rsid w:val="005D1D08"/>
    <w:rsid w:val="005D2BA2"/>
    <w:rsid w:val="005D7F8F"/>
    <w:rsid w:val="005E1D4F"/>
    <w:rsid w:val="005E78CA"/>
    <w:rsid w:val="00602CE8"/>
    <w:rsid w:val="00603066"/>
    <w:rsid w:val="006070B6"/>
    <w:rsid w:val="00613CA7"/>
    <w:rsid w:val="00635047"/>
    <w:rsid w:val="006352C2"/>
    <w:rsid w:val="006376B0"/>
    <w:rsid w:val="0064586F"/>
    <w:rsid w:val="00656E20"/>
    <w:rsid w:val="00677F69"/>
    <w:rsid w:val="0068481E"/>
    <w:rsid w:val="00686589"/>
    <w:rsid w:val="00687C9D"/>
    <w:rsid w:val="0069015E"/>
    <w:rsid w:val="00693E8C"/>
    <w:rsid w:val="00695EAF"/>
    <w:rsid w:val="006A672E"/>
    <w:rsid w:val="006A7489"/>
    <w:rsid w:val="006B3632"/>
    <w:rsid w:val="006B688B"/>
    <w:rsid w:val="006C0933"/>
    <w:rsid w:val="006C4246"/>
    <w:rsid w:val="006C5AB7"/>
    <w:rsid w:val="006C7FFC"/>
    <w:rsid w:val="006E3AE5"/>
    <w:rsid w:val="006F35C7"/>
    <w:rsid w:val="00710783"/>
    <w:rsid w:val="00713F5E"/>
    <w:rsid w:val="00715426"/>
    <w:rsid w:val="007229D9"/>
    <w:rsid w:val="007333D0"/>
    <w:rsid w:val="0073793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76A81"/>
    <w:rsid w:val="00886142"/>
    <w:rsid w:val="00886652"/>
    <w:rsid w:val="008908E6"/>
    <w:rsid w:val="0089770B"/>
    <w:rsid w:val="00897A30"/>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9F1AA0"/>
    <w:rsid w:val="00A01A9D"/>
    <w:rsid w:val="00A108CD"/>
    <w:rsid w:val="00A12049"/>
    <w:rsid w:val="00A15BD1"/>
    <w:rsid w:val="00A17543"/>
    <w:rsid w:val="00A23968"/>
    <w:rsid w:val="00A51151"/>
    <w:rsid w:val="00A55CCF"/>
    <w:rsid w:val="00A5663F"/>
    <w:rsid w:val="00A65529"/>
    <w:rsid w:val="00A65CEA"/>
    <w:rsid w:val="00A721A8"/>
    <w:rsid w:val="00A730B8"/>
    <w:rsid w:val="00A76899"/>
    <w:rsid w:val="00A80733"/>
    <w:rsid w:val="00A81E8E"/>
    <w:rsid w:val="00A93750"/>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D4929"/>
    <w:rsid w:val="00BE1794"/>
    <w:rsid w:val="00BE1D73"/>
    <w:rsid w:val="00BE4C21"/>
    <w:rsid w:val="00C03B91"/>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143"/>
    <w:rsid w:val="00D06B62"/>
    <w:rsid w:val="00D20CC8"/>
    <w:rsid w:val="00D73819"/>
    <w:rsid w:val="00D75747"/>
    <w:rsid w:val="00D75F54"/>
    <w:rsid w:val="00D8019B"/>
    <w:rsid w:val="00D822FD"/>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B524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24F4"/>
    <w:rsid w:val="00F71473"/>
    <w:rsid w:val="00F73E6D"/>
    <w:rsid w:val="00F844BD"/>
    <w:rsid w:val="00F87A2F"/>
    <w:rsid w:val="00F91A22"/>
    <w:rsid w:val="00FA703A"/>
    <w:rsid w:val="00FB0350"/>
    <w:rsid w:val="00FB5333"/>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voentelecom.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6433B-FE6F-445B-8AC2-F5E34788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Pages>
  <Words>7455</Words>
  <Characters>42496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Загороднев Денис Вячеславович</cp:lastModifiedBy>
  <cp:revision>55</cp:revision>
  <cp:lastPrinted>2020-10-28T13:37:00Z</cp:lastPrinted>
  <dcterms:created xsi:type="dcterms:W3CDTF">2021-08-24T14:37:00Z</dcterms:created>
  <dcterms:modified xsi:type="dcterms:W3CDTF">2022-04-26T11:26:00Z</dcterms:modified>
</cp:coreProperties>
</file>