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О ЗАДАТКЕ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условием о перечислении задатка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счёт оператора ЭТП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Кемерово</w:t>
        <w:tab/>
        <w:tab/>
        <w:tab/>
        <w:tab/>
        <w:tab/>
        <w:tab/>
        <w:tab/>
        <w:t xml:space="preserve">__________________202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Финансовый управляющий </w:t>
      </w:r>
      <w:r w:rsidDel="00000000" w:rsidR="00000000" w:rsidRPr="00000000">
        <w:rPr>
          <w:sz w:val="24"/>
          <w:szCs w:val="24"/>
          <w:rtl w:val="0"/>
        </w:rPr>
        <w:t xml:space="preserve">Арышева Александра Егоровича (10 сентября 1968 года рождения, место рождения: с. Арышево Яйского района Кемеровской обл., СНИЛС 049-697-844-38, ИНН 424600432500, адрес регистрации: Кемеровская область, район Яйский, д. Марьевка, ул. Молодежная, д. 8, кв. 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Салтыков Дмитрий Евгеньевич, действующий на основании Решения </w:t>
      </w:r>
      <w:r w:rsidDel="00000000" w:rsidR="00000000" w:rsidRPr="00000000">
        <w:rPr>
          <w:sz w:val="24"/>
          <w:szCs w:val="24"/>
          <w:rtl w:val="0"/>
        </w:rPr>
        <w:t xml:space="preserve">Арбитражного суда Кемеровской обл. от 28.02.2023 г. по делу №А27-13904/2022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именуемый в дальнейшем «Организатор торгов», с одной стороны, и,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_____________________________________________________________________________________________, именуемый в дальнейшем «Заявитель», с другой стороны, именуемые в дальнейшем «Стороны», заключили настоящий договор о нижеследующем: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В соответствии с условиями настоящего договора, Заявитель для участия в торгах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 продаже имущества должника </w:t>
      </w:r>
      <w:r w:rsidDel="00000000" w:rsidR="00000000" w:rsidRPr="00000000">
        <w:rPr>
          <w:sz w:val="24"/>
          <w:szCs w:val="24"/>
          <w:rtl w:val="0"/>
        </w:rPr>
        <w:t xml:space="preserve">Арышева Александра Егоровича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указанного в п.1.2. настоящего договора,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вносит в порядке, указанном в разделе 2 настоящего договора, задаток в размере _______ рублей ____ копеек.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1.2. Продаваемое на торгах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имущество: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Земельный участок, предназначенный для сельскохозяйственного производства, расположенный по адресу: местоположение установлено относительно ориентира, расположенного в границах участка. Почтовый адрес ориентира: Кемеровская область, Яйский район, в границах земель КСХП «Марьевское», Кадастровый номер: 42:18:0000000:124 - 10,8 га без выдела в натуре; 10,8 га без выдела в натуре; 10,8 га без выдела в натуре; 10,8 га без выдела в натуре; 10,8 га без выдела в натуре;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Задаток вносится Заявителем в счёт обеспечения исполнения обязательств по оплате продаваемого на торгах имущества.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Торги проводятся на электронной торговой площадке, расположенной в сети Интернет по адресу: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www.fabrikant.ru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внесения задатка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00"/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Задаток должен быть внесён Заявителем на счёт оператора электронной площадки (далее – оператора ЭТП) и заблокирован участником для участия в торгах до даты окончания приёма заявок / этапа приема заявок.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00"/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Реквизиты счёта оператора ЭТП, предназначенного для перечисления сумм задатков: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00"/>
          <w:tab w:val="left" w:leader="none" w:pos="36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получателя: ООО «Фабрикант.ру»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00"/>
          <w:tab w:val="left" w:leader="none" w:pos="36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 получателя: 7703561549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00"/>
          <w:tab w:val="left" w:leader="none" w:pos="36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КПП получателя: 770301001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00"/>
          <w:tab w:val="left" w:leader="none" w:pos="36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банка получателя: АО «АЛЬФА-БАНК» г. Москва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00"/>
          <w:tab w:val="left" w:leader="none" w:pos="36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БИК: 044525593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00"/>
          <w:tab w:val="left" w:leader="none" w:pos="36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Расчётный счёт: 40702810901400020577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00"/>
          <w:tab w:val="left" w:leader="none" w:pos="36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Корреспондентский счёт: 30101810200000000593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00"/>
          <w:tab w:val="left" w:leader="none" w:pos="36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Назначение платежа: Пополнение лицевого счета № ______ по заявке № _____ , без НДС.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00"/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Порядок внесения, блокирования и возврата задатка для участия в торгах, а также отношения, возникающие между Заявителем и оператором ЭТП, указаны в соответствующем Регламенте электронной площадки, размещённом в сети Интернет по адресу: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https://www.fabrikant.ru/rules/common?category-id=1715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– Регламент).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00"/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случае невнесения суммы задатка в установленный срок либо невыполнения действия по блокированию суммы задатка на сайте оператора ЭТП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00"/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00"/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возврата и удержания задатка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случае если отсутствуют основания для перечисления суммы задатка Организатору торгов (продавцу), такая сумма задатка разблокируется Оператором ЭТП.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Сумма задатка, заблокированная Заявителем на ЭТП для участия в торгах, разблокируется оператором ЭТП при наступлении любого из следующих случаев: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Размещение на ЭТП протокола об отказе Заявителю к участию в торгах;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Размещение на ЭТП протокола об отмене торгов Организатором;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Размещение на ЭТП протокола об отказе от торгов по решению залогового кредитора;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Отзыв заявки заявителем (до момента окончания приёма заявок);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Размещение на ЭТП протокола о признании победителем торгов другого участника;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Размещение на ЭТП протокола о признании торгов несостоявшимися (в том числе, в случае допуска к торгам единственного участника).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Разблокированная сумма задатка возвращается Заявителю Оператором ЭТП на основании отдельного обращения Заявителя.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Сумма задатка не возвращается Заявителю (участнику торгов) в случаях: уклонения Заявителя, признанного Победителем торгов, от заключения договора купли-продажи имущества в установленном порядке, в сроки и на условиях, указанных в проекте договора купли-продажи и в извещении, а также в случае неперечисления Заявителем, признанным Победителем торгов, денежных средств по заключенному договору купли-продажи имущества в оплату имущества в установленной сумме и сроки.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случае если Заявитель признан победителем торгов, задаток Заявителю не возвращается, а перечисляется оператором ЭТП Организатору торгов (продавцу), в счёт оплаты приобретаемого на торгах имущества.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60"/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действия настоящего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80"/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Настоящий договор вступает в силу с момента подписания его электронной подписью Заявителя и подачи его в составе заявки, либо с момента блокирования суммы денежных средств в качестве задатка для участия в торгах по продаже имущества, указанного в п.1.1. настоящего договора, на лицевом счёте Заявителя, в соответствии с Регламентом электронной площадки, указанным в п.2.3. настоящего договора.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80"/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Настоящий договор прекращает своё действие после исполнения Сторонами своих обязательств по нему.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80"/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80"/>
          <w:tab w:val="left" w:leader="none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Настоящий договор составлен в двух экземплярах имеющих одинаковую юридическую силу, по одному для каждой из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80"/>
          <w:tab w:val="left" w:leader="none" w:pos="360"/>
        </w:tabs>
        <w:spacing w:after="0" w:before="0" w:line="240" w:lineRule="auto"/>
        <w:ind w:left="644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80"/>
          <w:tab w:val="left" w:leader="none" w:pos="360"/>
        </w:tabs>
        <w:spacing w:after="0" w:before="0" w:line="240" w:lineRule="auto"/>
        <w:ind w:left="64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89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6.0" w:type="dxa"/>
        <w:jc w:val="left"/>
        <w:tblInd w:w="-38.0" w:type="dxa"/>
        <w:tblLayout w:type="fixed"/>
        <w:tblLook w:val="0000"/>
      </w:tblPr>
      <w:tblGrid>
        <w:gridCol w:w="4858"/>
        <w:gridCol w:w="4678"/>
        <w:tblGridChange w:id="0">
          <w:tblGrid>
            <w:gridCol w:w="4858"/>
            <w:gridCol w:w="4678"/>
          </w:tblGrid>
        </w:tblGridChange>
      </w:tblGrid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Организатор торгов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Заявитель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Финансовый управляющий Арышева Александра Егоровича (10 сентября 1968 года рождения, место рождения: с. Арышево Яйского района Кемеровской обл., СНИЛС 049-697-844-38, ИНН 424600432500, адрес регистрации: Кемеровская область, район Яйский, д. Марьевка, ул. Молодежная, д. 8, кв. 2) Салтыков Дмитрий Евгеньевич, действующий на основании Решения Арбитражного суда Кемеровской обл. от 28.02.2023 г. по делу №А27-13904/2022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a1e3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р/с: 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40702810901400020577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банк получателя: АО «АЛЬФА-БАНК» г. Москва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корр. счёт: № 30101810200000000593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БИК: 044525593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ИНН/КПП получателя: 7703561549/ 770301001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Получатель: ООО «Фабрикант.ру»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Финансовый управляющий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 Салтыков Д.Е.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⮚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1.⮚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⮚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⮚.%3.%4.%5."/>
      <w:lvlJc w:val="left"/>
      <w:pPr>
        <w:ind w:left="1080" w:hanging="720"/>
      </w:pPr>
      <w:rPr>
        <w:vertAlign w:val="baseline"/>
      </w:rPr>
    </w:lvl>
    <w:lvl w:ilvl="5">
      <w:start w:val="1"/>
      <w:numFmt w:val="decimal"/>
      <w:lvlText w:val="%1.⮚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⮚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⮚.%3.%4.%5.%6.%7.%8."/>
      <w:lvlJc w:val="left"/>
      <w:pPr>
        <w:ind w:left="1440" w:hanging="1080"/>
      </w:pPr>
      <w:rPr>
        <w:vertAlign w:val="baseline"/>
      </w:rPr>
    </w:lvl>
    <w:lvl w:ilvl="8">
      <w:start w:val="1"/>
      <w:numFmt w:val="decimal"/>
      <w:lvlText w:val="%1.⮚.%3.%4.%5.%6.%7.%8.%9."/>
      <w:lvlJc w:val="left"/>
      <w:pPr>
        <w:ind w:left="1800" w:hanging="1440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480" w:hanging="480"/>
      </w:pPr>
      <w:rPr>
        <w:color w:val="000000"/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359.9999999999999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abrikant.ru" TargetMode="External"/><Relationship Id="rId7" Type="http://schemas.openxmlformats.org/officeDocument/2006/relationships/hyperlink" Target="https://www.fabrikant.ru/rules/common?category-id=171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