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88" w:rsidRPr="006A02FE" w:rsidRDefault="00947B88" w:rsidP="00947B88">
      <w:pPr>
        <w:pStyle w:val="Times12"/>
        <w:ind w:left="4111" w:firstLine="0"/>
        <w:jc w:val="right"/>
        <w:rPr>
          <w:iCs/>
          <w:szCs w:val="20"/>
        </w:rPr>
      </w:pPr>
      <w:r w:rsidRPr="006A02FE">
        <w:rPr>
          <w:iCs/>
          <w:szCs w:val="20"/>
        </w:rPr>
        <w:t xml:space="preserve">Приложение к </w:t>
      </w:r>
      <w:r w:rsidR="00813625">
        <w:rPr>
          <w:iCs/>
          <w:szCs w:val="20"/>
        </w:rPr>
        <w:t>предложению</w:t>
      </w:r>
      <w:r w:rsidRPr="006A02FE">
        <w:rPr>
          <w:iCs/>
          <w:szCs w:val="20"/>
        </w:rPr>
        <w:t xml:space="preserve"> на </w:t>
      </w:r>
      <w:r>
        <w:rPr>
          <w:iCs/>
          <w:szCs w:val="20"/>
        </w:rPr>
        <w:t>участие в закупке</w:t>
      </w:r>
    </w:p>
    <w:p w:rsidR="00947B88" w:rsidRPr="006A02FE" w:rsidRDefault="00947B88" w:rsidP="00947B88">
      <w:pPr>
        <w:pStyle w:val="Times12"/>
        <w:ind w:left="4111" w:firstLine="0"/>
        <w:jc w:val="right"/>
        <w:rPr>
          <w:iCs/>
          <w:szCs w:val="20"/>
        </w:rPr>
      </w:pPr>
      <w:r w:rsidRPr="006A02FE">
        <w:rPr>
          <w:iCs/>
          <w:szCs w:val="20"/>
        </w:rPr>
        <w:t>от «___» __________ 20___ г. № ______</w:t>
      </w:r>
    </w:p>
    <w:p w:rsidR="00947B88" w:rsidRPr="00FC009D" w:rsidRDefault="00947B88" w:rsidP="00947B88">
      <w:pPr>
        <w:pStyle w:val="Times12"/>
        <w:jc w:val="center"/>
        <w:rPr>
          <w:b/>
          <w:snapToGrid w:val="0"/>
          <w:szCs w:val="24"/>
        </w:rPr>
      </w:pPr>
    </w:p>
    <w:p w:rsidR="00947B88" w:rsidRPr="00512DDE" w:rsidRDefault="00947B88" w:rsidP="00947B88">
      <w:pPr>
        <w:jc w:val="center"/>
        <w:rPr>
          <w:sz w:val="28"/>
          <w:szCs w:val="28"/>
        </w:rPr>
      </w:pPr>
      <w:r>
        <w:rPr>
          <w:sz w:val="28"/>
          <w:szCs w:val="28"/>
        </w:rPr>
        <w:t xml:space="preserve">Закупка на право заключения договора на </w:t>
      </w:r>
      <w:r w:rsidRPr="00512DDE">
        <w:rPr>
          <w:sz w:val="28"/>
          <w:szCs w:val="28"/>
        </w:rPr>
        <w:t>поставку</w:t>
      </w:r>
      <w:r w:rsidR="00B507BD">
        <w:rPr>
          <w:sz w:val="28"/>
          <w:szCs w:val="28"/>
        </w:rPr>
        <w:t>______________________</w:t>
      </w:r>
    </w:p>
    <w:p w:rsidR="00947B88" w:rsidRPr="00FC009D" w:rsidRDefault="00947B88" w:rsidP="00947B88">
      <w:pPr>
        <w:jc w:val="center"/>
        <w:rPr>
          <w:szCs w:val="22"/>
        </w:rPr>
      </w:pPr>
    </w:p>
    <w:p w:rsidR="00947B88" w:rsidRPr="00FC009D" w:rsidRDefault="00947B88" w:rsidP="00947B88">
      <w:pPr>
        <w:jc w:val="right"/>
        <w:rPr>
          <w:b/>
          <w:i/>
          <w:iCs/>
        </w:rPr>
      </w:pPr>
      <w:bookmarkStart w:id="0" w:name="_Техническое_предложение_(Форма"/>
      <w:bookmarkEnd w:id="0"/>
    </w:p>
    <w:p w:rsidR="00813625" w:rsidRDefault="00813625" w:rsidP="00813625">
      <w:pPr>
        <w:pStyle w:val="Times12"/>
        <w:ind w:firstLine="0"/>
        <w:rPr>
          <w:sz w:val="28"/>
          <w:szCs w:val="28"/>
        </w:rPr>
      </w:pPr>
      <w:r>
        <w:rPr>
          <w:sz w:val="28"/>
          <w:szCs w:val="28"/>
        </w:rPr>
        <w:t>Поставщик (</w:t>
      </w:r>
      <w:r w:rsidR="00947B88">
        <w:rPr>
          <w:sz w:val="28"/>
          <w:szCs w:val="28"/>
        </w:rPr>
        <w:t>Участник закупки</w:t>
      </w:r>
      <w:r>
        <w:rPr>
          <w:sz w:val="28"/>
          <w:szCs w:val="28"/>
        </w:rPr>
        <w:t>)</w:t>
      </w:r>
      <w:r w:rsidR="00947B88" w:rsidRPr="000462EF">
        <w:rPr>
          <w:sz w:val="28"/>
          <w:szCs w:val="28"/>
        </w:rPr>
        <w:t>: _______________________________</w:t>
      </w:r>
      <w:proofErr w:type="gramStart"/>
      <w:r w:rsidR="00947B88" w:rsidRPr="000462EF">
        <w:rPr>
          <w:sz w:val="28"/>
          <w:szCs w:val="28"/>
        </w:rPr>
        <w:t xml:space="preserve">_ </w:t>
      </w:r>
      <w:r w:rsidRPr="00813625">
        <w:rPr>
          <w:sz w:val="28"/>
          <w:szCs w:val="28"/>
        </w:rPr>
        <w:t>,</w:t>
      </w:r>
      <w:proofErr w:type="gramEnd"/>
      <w:r w:rsidRPr="00813625">
        <w:rPr>
          <w:sz w:val="28"/>
          <w:szCs w:val="28"/>
        </w:rPr>
        <w:t xml:space="preserve"> подписывая настоящее предложение, соглашается с условиями Договора</w:t>
      </w:r>
      <w:r>
        <w:rPr>
          <w:sz w:val="28"/>
          <w:szCs w:val="28"/>
        </w:rPr>
        <w:t>*</w:t>
      </w:r>
      <w:r w:rsidRPr="00813625">
        <w:rPr>
          <w:sz w:val="28"/>
          <w:szCs w:val="28"/>
        </w:rPr>
        <w:t>, изложенными в типовой форме, размещенной в составе закупочной документации на электронной торговой площадке, а именно, подтверждает выполнение в том числе следующих условий:</w:t>
      </w:r>
    </w:p>
    <w:p w:rsidR="00813625" w:rsidRDefault="00813625" w:rsidP="00947B88">
      <w:pPr>
        <w:pStyle w:val="a5"/>
        <w:tabs>
          <w:tab w:val="clear" w:pos="1134"/>
        </w:tabs>
        <w:autoSpaceDE w:val="0"/>
        <w:autoSpaceDN w:val="0"/>
        <w:spacing w:line="240" w:lineRule="auto"/>
        <w:ind w:firstLine="0"/>
        <w:rPr>
          <w:sz w:val="28"/>
          <w:szCs w:val="28"/>
        </w:rPr>
      </w:pPr>
      <w:r>
        <w:rPr>
          <w:sz w:val="28"/>
          <w:szCs w:val="28"/>
        </w:rPr>
        <w:t>1</w:t>
      </w:r>
      <w:r w:rsidRPr="00813625">
        <w:rPr>
          <w:sz w:val="28"/>
          <w:szCs w:val="28"/>
        </w:rPr>
        <w:t>.1. Поставщик обязуется открыть в территориальном органе Федерального казначейства лицевой счет, предназначенный для учета операций со средствами юридического лица, не являющегося участником бюджетного процесса, для осуществления операций, связанных с исполнением обязательств по договору.</w:t>
      </w:r>
    </w:p>
    <w:p w:rsidR="00813625" w:rsidRDefault="00813625" w:rsidP="00947B88">
      <w:pPr>
        <w:pStyle w:val="a5"/>
        <w:tabs>
          <w:tab w:val="clear" w:pos="1134"/>
        </w:tabs>
        <w:autoSpaceDE w:val="0"/>
        <w:autoSpaceDN w:val="0"/>
        <w:spacing w:line="240" w:lineRule="auto"/>
        <w:ind w:firstLine="0"/>
        <w:rPr>
          <w:sz w:val="28"/>
          <w:szCs w:val="28"/>
        </w:rPr>
      </w:pPr>
      <w:r>
        <w:rPr>
          <w:sz w:val="28"/>
          <w:szCs w:val="28"/>
        </w:rPr>
        <w:t>2</w:t>
      </w:r>
      <w:r w:rsidRPr="00813625">
        <w:rPr>
          <w:sz w:val="28"/>
          <w:szCs w:val="28"/>
        </w:rPr>
        <w:t>.2. Расчеты по настоящему договору осуществляются в форме Казначейского обеспечения обязательств</w:t>
      </w:r>
      <w:r w:rsidR="007542A4">
        <w:rPr>
          <w:sz w:val="28"/>
          <w:szCs w:val="28"/>
        </w:rPr>
        <w:t xml:space="preserve"> (казначейский аккредитив)</w:t>
      </w:r>
      <w:r w:rsidRPr="00813625">
        <w:rPr>
          <w:sz w:val="28"/>
          <w:szCs w:val="28"/>
        </w:rPr>
        <w:t>.</w:t>
      </w:r>
    </w:p>
    <w:p w:rsidR="00813625" w:rsidRDefault="00813625" w:rsidP="00947B88">
      <w:pPr>
        <w:pStyle w:val="a5"/>
        <w:tabs>
          <w:tab w:val="clear" w:pos="1134"/>
        </w:tabs>
        <w:autoSpaceDE w:val="0"/>
        <w:autoSpaceDN w:val="0"/>
        <w:spacing w:line="240" w:lineRule="auto"/>
        <w:ind w:firstLine="0"/>
        <w:rPr>
          <w:sz w:val="28"/>
          <w:szCs w:val="28"/>
        </w:rPr>
      </w:pPr>
      <w:r>
        <w:rPr>
          <w:sz w:val="28"/>
          <w:szCs w:val="28"/>
        </w:rPr>
        <w:t>2</w:t>
      </w:r>
      <w:r w:rsidRPr="00813625">
        <w:rPr>
          <w:sz w:val="28"/>
          <w:szCs w:val="28"/>
        </w:rPr>
        <w:t>.3. Условие о Казначейском обеспечении обязательств включается в условия договоров, заключаемых в рамках исполнения настоящего договора (по всей цепочке поставщиков/субпоставщиков).</w:t>
      </w:r>
    </w:p>
    <w:p w:rsidR="00813625" w:rsidRPr="00F1674E" w:rsidRDefault="00813625" w:rsidP="00947B88">
      <w:pPr>
        <w:pStyle w:val="a5"/>
        <w:tabs>
          <w:tab w:val="clear" w:pos="1134"/>
        </w:tabs>
        <w:autoSpaceDE w:val="0"/>
        <w:autoSpaceDN w:val="0"/>
        <w:spacing w:line="240" w:lineRule="auto"/>
        <w:ind w:firstLine="0"/>
        <w:rPr>
          <w:sz w:val="28"/>
          <w:szCs w:val="28"/>
        </w:rPr>
      </w:pPr>
      <w:r>
        <w:rPr>
          <w:sz w:val="28"/>
          <w:szCs w:val="28"/>
        </w:rPr>
        <w:t>2</w:t>
      </w:r>
      <w:r w:rsidRPr="00813625">
        <w:rPr>
          <w:sz w:val="28"/>
          <w:szCs w:val="28"/>
        </w:rPr>
        <w:t xml:space="preserve">.4. </w:t>
      </w:r>
      <w:r w:rsidRPr="00F1674E">
        <w:rPr>
          <w:sz w:val="28"/>
          <w:szCs w:val="28"/>
        </w:rPr>
        <w:t xml:space="preserve">Оплата </w:t>
      </w:r>
      <w:r w:rsidR="007542A4" w:rsidRPr="00F1674E">
        <w:rPr>
          <w:sz w:val="28"/>
          <w:szCs w:val="28"/>
        </w:rPr>
        <w:t>за поставленную продукцию</w:t>
      </w:r>
      <w:r w:rsidRPr="00F1674E">
        <w:rPr>
          <w:sz w:val="28"/>
          <w:szCs w:val="28"/>
        </w:rPr>
        <w:t xml:space="preserve"> (партии продукции) производится в порядке осуществления казначейского обеспечения обязательств при казначейском сопровождении средств федерального бюджета, установленном законодательными актами Российской Федерации, при условии оформления оригинала товарной накладной по форме ТОРГ 12, и предъявлении Поставщиком отчетных документов в соответствующий территориальный орган Федерального казначейства. Авансовые платежи не предусмотрены.</w:t>
      </w:r>
    </w:p>
    <w:p w:rsidR="007542A4" w:rsidRPr="00F1674E" w:rsidRDefault="007542A4" w:rsidP="007542A4">
      <w:pPr>
        <w:pStyle w:val="a5"/>
        <w:tabs>
          <w:tab w:val="clear" w:pos="1134"/>
        </w:tabs>
        <w:autoSpaceDE w:val="0"/>
        <w:autoSpaceDN w:val="0"/>
        <w:spacing w:line="240" w:lineRule="auto"/>
        <w:ind w:firstLine="0"/>
        <w:rPr>
          <w:sz w:val="28"/>
          <w:szCs w:val="28"/>
        </w:rPr>
      </w:pPr>
      <w:r w:rsidRPr="00F1674E">
        <w:rPr>
          <w:sz w:val="28"/>
          <w:szCs w:val="28"/>
        </w:rPr>
        <w:t>2.5 Целевые средства (казначейский аккредитив) разрешается перечислять на счета, открытые Поставщику в кредитной организации, для:</w:t>
      </w:r>
    </w:p>
    <w:p w:rsidR="007542A4" w:rsidRPr="00F1674E" w:rsidRDefault="007542A4" w:rsidP="007542A4">
      <w:pPr>
        <w:pStyle w:val="a5"/>
        <w:tabs>
          <w:tab w:val="clear" w:pos="1134"/>
        </w:tabs>
        <w:autoSpaceDE w:val="0"/>
        <w:autoSpaceDN w:val="0"/>
        <w:spacing w:line="240" w:lineRule="auto"/>
        <w:ind w:firstLine="0"/>
        <w:rPr>
          <w:sz w:val="28"/>
          <w:szCs w:val="28"/>
        </w:rPr>
      </w:pPr>
      <w:r w:rsidRPr="00F1674E">
        <w:rPr>
          <w:sz w:val="28"/>
          <w:szCs w:val="28"/>
        </w:rPr>
        <w:t>•</w:t>
      </w:r>
      <w:r w:rsidRPr="00F1674E">
        <w:rPr>
          <w:sz w:val="28"/>
          <w:szCs w:val="28"/>
        </w:rPr>
        <w:tab/>
        <w:t>оплаты обязательств Поставщика в соответствии с валютным законодательством Российской Федерации;</w:t>
      </w:r>
    </w:p>
    <w:p w:rsidR="007542A4" w:rsidRPr="00F1674E" w:rsidRDefault="007542A4" w:rsidP="007542A4">
      <w:pPr>
        <w:pStyle w:val="a5"/>
        <w:tabs>
          <w:tab w:val="clear" w:pos="1134"/>
        </w:tabs>
        <w:autoSpaceDE w:val="0"/>
        <w:autoSpaceDN w:val="0"/>
        <w:spacing w:line="240" w:lineRule="auto"/>
        <w:ind w:firstLine="0"/>
        <w:rPr>
          <w:sz w:val="28"/>
          <w:szCs w:val="28"/>
        </w:rPr>
      </w:pPr>
      <w:r w:rsidRPr="00F1674E">
        <w:rPr>
          <w:sz w:val="28"/>
          <w:szCs w:val="28"/>
        </w:rPr>
        <w:t>•</w:t>
      </w:r>
      <w:r w:rsidRPr="00F1674E">
        <w:rPr>
          <w:sz w:val="28"/>
          <w:szCs w:val="28"/>
        </w:rPr>
        <w:tab/>
        <w:t>перечисления средств на оплату труда физическим лицам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7542A4" w:rsidRPr="00F1674E" w:rsidRDefault="007542A4" w:rsidP="007542A4">
      <w:pPr>
        <w:pStyle w:val="a5"/>
        <w:tabs>
          <w:tab w:val="clear" w:pos="1134"/>
        </w:tabs>
        <w:autoSpaceDE w:val="0"/>
        <w:autoSpaceDN w:val="0"/>
        <w:spacing w:line="240" w:lineRule="auto"/>
        <w:ind w:firstLine="0"/>
        <w:rPr>
          <w:sz w:val="28"/>
          <w:szCs w:val="28"/>
        </w:rPr>
      </w:pPr>
      <w:r w:rsidRPr="00F1674E">
        <w:rPr>
          <w:sz w:val="28"/>
          <w:szCs w:val="28"/>
        </w:rPr>
        <w:t>•</w:t>
      </w:r>
      <w:r w:rsidRPr="00F1674E">
        <w:rPr>
          <w:sz w:val="28"/>
          <w:szCs w:val="28"/>
        </w:rPr>
        <w:tab/>
        <w:t>в целях оплаты контракта (договора), заключенного на сумму 100 тысяч рублей и менее;</w:t>
      </w:r>
    </w:p>
    <w:p w:rsidR="007542A4" w:rsidRPr="00F1674E" w:rsidRDefault="007542A4" w:rsidP="007542A4">
      <w:pPr>
        <w:pStyle w:val="a5"/>
        <w:tabs>
          <w:tab w:val="clear" w:pos="1134"/>
        </w:tabs>
        <w:autoSpaceDE w:val="0"/>
        <w:autoSpaceDN w:val="0"/>
        <w:spacing w:line="240" w:lineRule="auto"/>
        <w:ind w:firstLine="0"/>
        <w:rPr>
          <w:sz w:val="28"/>
          <w:szCs w:val="28"/>
        </w:rPr>
      </w:pPr>
      <w:r w:rsidRPr="00F1674E">
        <w:rPr>
          <w:sz w:val="28"/>
          <w:szCs w:val="28"/>
        </w:rPr>
        <w:t>•</w:t>
      </w:r>
      <w:r w:rsidRPr="00F1674E">
        <w:rPr>
          <w:sz w:val="28"/>
          <w:szCs w:val="28"/>
        </w:rPr>
        <w:tab/>
        <w:t xml:space="preserve">оплаты фактически выполненных Поставщиком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настоящим договором или нормативными правовыми актами, регулирующими порядок предоставления целевых средств; </w:t>
      </w:r>
    </w:p>
    <w:p w:rsidR="007542A4" w:rsidRPr="00F1674E" w:rsidRDefault="007542A4" w:rsidP="007542A4">
      <w:pPr>
        <w:pStyle w:val="a5"/>
        <w:tabs>
          <w:tab w:val="clear" w:pos="1134"/>
        </w:tabs>
        <w:autoSpaceDE w:val="0"/>
        <w:autoSpaceDN w:val="0"/>
        <w:spacing w:line="240" w:lineRule="auto"/>
        <w:ind w:firstLine="0"/>
        <w:rPr>
          <w:sz w:val="28"/>
          <w:szCs w:val="28"/>
        </w:rPr>
      </w:pPr>
      <w:r w:rsidRPr="00F1674E">
        <w:rPr>
          <w:sz w:val="28"/>
          <w:szCs w:val="28"/>
        </w:rPr>
        <w:t>•</w:t>
      </w:r>
      <w:r w:rsidRPr="00F1674E">
        <w:rPr>
          <w:sz w:val="28"/>
          <w:szCs w:val="28"/>
        </w:rPr>
        <w:tab/>
        <w:t xml:space="preserve">в целях оплаты контракта (договора), предметом которого являются приобретение услуг связи, коммунальных услуг, электроэнергии, авиационных и железнодорожных </w:t>
      </w:r>
      <w:r w:rsidRPr="00F1674E">
        <w:rPr>
          <w:sz w:val="28"/>
          <w:szCs w:val="28"/>
        </w:rPr>
        <w:lastRenderedPageBreak/>
        <w:t>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осуществление страхования в соответствии со страховым законодательством Российской Федерации;</w:t>
      </w:r>
    </w:p>
    <w:p w:rsidR="00813625" w:rsidRPr="007542A4" w:rsidRDefault="007542A4" w:rsidP="007542A4">
      <w:pPr>
        <w:pStyle w:val="a5"/>
        <w:tabs>
          <w:tab w:val="clear" w:pos="1134"/>
        </w:tabs>
        <w:autoSpaceDE w:val="0"/>
        <w:autoSpaceDN w:val="0"/>
        <w:spacing w:line="240" w:lineRule="auto"/>
        <w:ind w:firstLine="0"/>
        <w:rPr>
          <w:sz w:val="28"/>
          <w:szCs w:val="28"/>
        </w:rPr>
      </w:pPr>
      <w:r w:rsidRPr="00F1674E">
        <w:rPr>
          <w:sz w:val="28"/>
          <w:szCs w:val="28"/>
        </w:rPr>
        <w:t>•</w:t>
      </w:r>
      <w:r w:rsidRPr="00F1674E">
        <w:rPr>
          <w:sz w:val="28"/>
          <w:szCs w:val="28"/>
        </w:rPr>
        <w:tab/>
        <w:t>возмещения произведенных Поставщиком расходов (части расходов), в случае если указанные расходы осуществлялись до поступления средств на лицевой счет, открытый Поставщику, и при условии представления документов, подтверждающих оплату произведенных Поставщиком расходов (части расходов),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Поставщиком расходов (части расходов).</w:t>
      </w:r>
      <w:bookmarkStart w:id="1" w:name="_GoBack"/>
      <w:bookmarkEnd w:id="1"/>
    </w:p>
    <w:p w:rsidR="00813625" w:rsidRDefault="00813625" w:rsidP="00947B88">
      <w:pPr>
        <w:pStyle w:val="a5"/>
        <w:tabs>
          <w:tab w:val="clear" w:pos="1134"/>
        </w:tabs>
        <w:autoSpaceDE w:val="0"/>
        <w:autoSpaceDN w:val="0"/>
        <w:spacing w:line="240" w:lineRule="auto"/>
        <w:ind w:firstLine="0"/>
        <w:rPr>
          <w:sz w:val="28"/>
          <w:szCs w:val="28"/>
        </w:rPr>
      </w:pPr>
    </w:p>
    <w:p w:rsidR="00813625" w:rsidRDefault="00813625" w:rsidP="00947B88">
      <w:pPr>
        <w:pStyle w:val="a5"/>
        <w:tabs>
          <w:tab w:val="clear" w:pos="1134"/>
        </w:tabs>
        <w:autoSpaceDE w:val="0"/>
        <w:autoSpaceDN w:val="0"/>
        <w:spacing w:line="240" w:lineRule="auto"/>
        <w:ind w:firstLine="0"/>
        <w:rPr>
          <w:sz w:val="28"/>
          <w:szCs w:val="28"/>
        </w:rPr>
      </w:pPr>
    </w:p>
    <w:p w:rsidR="00813625" w:rsidRDefault="00813625" w:rsidP="00947B88">
      <w:pPr>
        <w:pStyle w:val="a5"/>
        <w:tabs>
          <w:tab w:val="clear" w:pos="1134"/>
        </w:tabs>
        <w:autoSpaceDE w:val="0"/>
        <w:autoSpaceDN w:val="0"/>
        <w:spacing w:line="240" w:lineRule="auto"/>
        <w:ind w:firstLine="0"/>
        <w:rPr>
          <w:sz w:val="28"/>
          <w:szCs w:val="28"/>
        </w:rPr>
      </w:pPr>
    </w:p>
    <w:p w:rsidR="00947B88" w:rsidRPr="00102E0C" w:rsidRDefault="00947B88" w:rsidP="00947B88">
      <w:pPr>
        <w:pStyle w:val="a5"/>
        <w:tabs>
          <w:tab w:val="clear" w:pos="1134"/>
        </w:tabs>
        <w:autoSpaceDE w:val="0"/>
        <w:autoSpaceDN w:val="0"/>
        <w:spacing w:line="240" w:lineRule="auto"/>
        <w:ind w:firstLine="0"/>
        <w:rPr>
          <w:b/>
          <w:i/>
          <w:sz w:val="16"/>
          <w:szCs w:val="16"/>
        </w:rPr>
      </w:pPr>
      <w:r w:rsidRPr="00102E0C">
        <w:rPr>
          <w:b/>
          <w:i/>
          <w:sz w:val="16"/>
          <w:szCs w:val="16"/>
        </w:rPr>
        <w:t>_________________________________</w:t>
      </w:r>
      <w:r w:rsidRPr="00102E0C">
        <w:rPr>
          <w:b/>
          <w:i/>
          <w:sz w:val="16"/>
          <w:szCs w:val="16"/>
        </w:rPr>
        <w:tab/>
        <w:t>___</w:t>
      </w:r>
      <w:r w:rsidRPr="00102E0C">
        <w:rPr>
          <w:b/>
          <w:i/>
          <w:sz w:val="16"/>
          <w:szCs w:val="16"/>
        </w:rPr>
        <w:tab/>
      </w:r>
      <w:r w:rsidRPr="00102E0C">
        <w:rPr>
          <w:b/>
          <w:i/>
          <w:sz w:val="16"/>
          <w:szCs w:val="16"/>
        </w:rPr>
        <w:tab/>
        <w:t>___________________________</w:t>
      </w:r>
    </w:p>
    <w:p w:rsidR="00947B88" w:rsidRPr="00102E0C" w:rsidRDefault="00947B88" w:rsidP="00947B88">
      <w:pPr>
        <w:pStyle w:val="Times12"/>
        <w:ind w:firstLine="0"/>
        <w:rPr>
          <w:b/>
          <w:bCs w:val="0"/>
          <w:i/>
          <w:vertAlign w:val="superscript"/>
        </w:rPr>
      </w:pPr>
      <w:r w:rsidRPr="00102E0C">
        <w:rPr>
          <w:b/>
          <w:bCs w:val="0"/>
          <w:i/>
          <w:vertAlign w:val="superscript"/>
        </w:rPr>
        <w:t>(Подпись уполномоченного представителя)</w:t>
      </w:r>
      <w:r w:rsidRPr="00102E0C">
        <w:rPr>
          <w:b/>
          <w:i/>
          <w:snapToGrid w:val="0"/>
          <w:sz w:val="14"/>
          <w:szCs w:val="14"/>
        </w:rPr>
        <w:tab/>
      </w:r>
      <w:r w:rsidRPr="00102E0C">
        <w:rPr>
          <w:b/>
          <w:i/>
          <w:snapToGrid w:val="0"/>
          <w:sz w:val="14"/>
          <w:szCs w:val="14"/>
        </w:rPr>
        <w:tab/>
      </w:r>
      <w:r w:rsidRPr="00102E0C">
        <w:rPr>
          <w:b/>
          <w:bCs w:val="0"/>
          <w:i/>
          <w:vertAlign w:val="superscript"/>
        </w:rPr>
        <w:t>(Имя и должность подписавшего)</w:t>
      </w:r>
    </w:p>
    <w:p w:rsidR="00947B88" w:rsidRPr="003811F6" w:rsidRDefault="00947B88" w:rsidP="00947B88">
      <w:pPr>
        <w:pStyle w:val="Times12"/>
        <w:ind w:firstLine="709"/>
        <w:rPr>
          <w:b/>
          <w:bCs w:val="0"/>
          <w:sz w:val="28"/>
        </w:rPr>
      </w:pPr>
      <w:r w:rsidRPr="003811F6">
        <w:rPr>
          <w:b/>
          <w:bCs w:val="0"/>
          <w:sz w:val="28"/>
        </w:rPr>
        <w:t>М.П.</w:t>
      </w:r>
      <w:r>
        <w:rPr>
          <w:b/>
          <w:bCs w:val="0"/>
          <w:sz w:val="28"/>
        </w:rPr>
        <w:t xml:space="preserve"> </w:t>
      </w:r>
      <w:r>
        <w:rPr>
          <w:sz w:val="28"/>
        </w:rPr>
        <w:t>(при наличии)</w:t>
      </w:r>
    </w:p>
    <w:p w:rsidR="00947B88" w:rsidRDefault="00947B88" w:rsidP="00947B88">
      <w:pPr>
        <w:jc w:val="center"/>
        <w:rPr>
          <w:b/>
        </w:rPr>
      </w:pPr>
    </w:p>
    <w:p w:rsidR="00813625" w:rsidRPr="00FC009D" w:rsidRDefault="00813625" w:rsidP="00947B88">
      <w:pPr>
        <w:jc w:val="center"/>
        <w:rPr>
          <w:b/>
        </w:rPr>
      </w:pPr>
    </w:p>
    <w:p w:rsidR="00947B88" w:rsidRPr="00813625" w:rsidRDefault="00813625" w:rsidP="00813625">
      <w:pPr>
        <w:pStyle w:val="Times12"/>
        <w:tabs>
          <w:tab w:val="left" w:pos="1134"/>
          <w:tab w:val="left" w:pos="1418"/>
        </w:tabs>
        <w:ind w:left="709" w:firstLine="0"/>
        <w:rPr>
          <w:snapToGrid w:val="0"/>
          <w:szCs w:val="24"/>
        </w:rPr>
      </w:pPr>
      <w:r>
        <w:rPr>
          <w:snapToGrid w:val="0"/>
          <w:szCs w:val="24"/>
        </w:rPr>
        <w:t>*</w:t>
      </w:r>
      <w:r w:rsidR="00947B88">
        <w:rPr>
          <w:snapToGrid w:val="0"/>
          <w:szCs w:val="24"/>
        </w:rPr>
        <w:t>Участник закупки</w:t>
      </w:r>
      <w:r w:rsidR="00947B88" w:rsidRPr="005A1C1B">
        <w:rPr>
          <w:snapToGrid w:val="0"/>
          <w:szCs w:val="24"/>
        </w:rPr>
        <w:t xml:space="preserve"> </w:t>
      </w:r>
      <w:r w:rsidR="00947B88" w:rsidRPr="00FC009D">
        <w:rPr>
          <w:snapToGrid w:val="0"/>
          <w:szCs w:val="24"/>
        </w:rPr>
        <w:t>в данной форме должен подтвердить выполнение каждого требования</w:t>
      </w:r>
      <w:r w:rsidR="00947B88" w:rsidRPr="00721340">
        <w:rPr>
          <w:snapToGrid w:val="0"/>
          <w:szCs w:val="24"/>
        </w:rPr>
        <w:t xml:space="preserve">, предусмотренного </w:t>
      </w:r>
      <w:r>
        <w:rPr>
          <w:snapToGrid w:val="0"/>
          <w:szCs w:val="24"/>
        </w:rPr>
        <w:t>типовой формой</w:t>
      </w:r>
      <w:r w:rsidRPr="00813625">
        <w:rPr>
          <w:snapToGrid w:val="0"/>
          <w:szCs w:val="24"/>
        </w:rPr>
        <w:t>, размещенной в составе закупочной документации на электронной торговой площадке</w:t>
      </w:r>
      <w:r w:rsidR="00947B88" w:rsidRPr="00FC009D">
        <w:rPr>
          <w:snapToGrid w:val="0"/>
          <w:szCs w:val="24"/>
        </w:rPr>
        <w:t xml:space="preserve">. </w:t>
      </w:r>
    </w:p>
    <w:p w:rsidR="00947B88" w:rsidRPr="00FC009D" w:rsidRDefault="00947B88" w:rsidP="00947B88">
      <w:pPr>
        <w:pStyle w:val="a"/>
        <w:numPr>
          <w:ilvl w:val="0"/>
          <w:numId w:val="0"/>
        </w:numPr>
        <w:spacing w:line="240" w:lineRule="auto"/>
        <w:ind w:firstLine="567"/>
        <w:rPr>
          <w:sz w:val="24"/>
          <w:szCs w:val="20"/>
        </w:rPr>
      </w:pPr>
    </w:p>
    <w:p w:rsidR="006570EA" w:rsidRDefault="00F1674E"/>
    <w:sectPr w:rsidR="006570EA" w:rsidSect="000F5FD1">
      <w:pgSz w:w="11906" w:h="16838"/>
      <w:pgMar w:top="1134" w:right="567" w:bottom="1134" w:left="851" w:header="6" w:footer="29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3302"/>
    <w:multiLevelType w:val="multilevel"/>
    <w:tmpl w:val="2962E17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suff w:val="space"/>
      <w:lvlText w:val="­"/>
      <w:lvlJc w:val="left"/>
      <w:pPr>
        <w:ind w:left="0" w:firstLine="709"/>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91C1496"/>
    <w:multiLevelType w:val="multilevel"/>
    <w:tmpl w:val="D4F20A0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E4"/>
    <w:rsid w:val="000F5FD1"/>
    <w:rsid w:val="001E2166"/>
    <w:rsid w:val="002328C5"/>
    <w:rsid w:val="007542A4"/>
    <w:rsid w:val="00813625"/>
    <w:rsid w:val="00947B88"/>
    <w:rsid w:val="00B40BF7"/>
    <w:rsid w:val="00B507BD"/>
    <w:rsid w:val="00DA20E4"/>
    <w:rsid w:val="00F1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68307-0353-444D-B8C3-E7431D36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7B8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link w:val="10"/>
    <w:qFormat/>
    <w:rsid w:val="00947B88"/>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1"/>
    <w:next w:val="a1"/>
    <w:link w:val="20"/>
    <w:qFormat/>
    <w:rsid w:val="00947B88"/>
    <w:pPr>
      <w:keepNext/>
      <w:numPr>
        <w:ilvl w:val="1"/>
        <w:numId w:val="1"/>
      </w:numPr>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2"/>
    <w:link w:val="1"/>
    <w:rsid w:val="00947B88"/>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
    <w:rsid w:val="00947B88"/>
    <w:rPr>
      <w:rFonts w:ascii="Arial" w:eastAsia="Times New Roman" w:hAnsi="Arial" w:cs="Arial"/>
      <w:b/>
      <w:bCs/>
      <w:i/>
      <w:iCs/>
      <w:sz w:val="28"/>
      <w:szCs w:val="28"/>
      <w:lang w:eastAsia="ru-RU"/>
    </w:rPr>
  </w:style>
  <w:style w:type="paragraph" w:customStyle="1" w:styleId="a0">
    <w:name w:val="Пункт"/>
    <w:basedOn w:val="a1"/>
    <w:rsid w:val="00947B88"/>
    <w:pPr>
      <w:numPr>
        <w:ilvl w:val="2"/>
        <w:numId w:val="1"/>
      </w:numPr>
      <w:spacing w:line="360" w:lineRule="auto"/>
      <w:jc w:val="both"/>
    </w:pPr>
    <w:rPr>
      <w:snapToGrid w:val="0"/>
      <w:sz w:val="28"/>
      <w:szCs w:val="28"/>
    </w:rPr>
  </w:style>
  <w:style w:type="paragraph" w:customStyle="1" w:styleId="Times12">
    <w:name w:val="Times 12"/>
    <w:basedOn w:val="a1"/>
    <w:rsid w:val="00947B88"/>
    <w:pPr>
      <w:overflowPunct w:val="0"/>
      <w:autoSpaceDE w:val="0"/>
      <w:autoSpaceDN w:val="0"/>
      <w:adjustRightInd w:val="0"/>
      <w:ind w:firstLine="567"/>
      <w:jc w:val="both"/>
    </w:pPr>
    <w:rPr>
      <w:bCs/>
      <w:szCs w:val="22"/>
    </w:rPr>
  </w:style>
  <w:style w:type="paragraph" w:customStyle="1" w:styleId="a">
    <w:name w:val="Подподпункт"/>
    <w:basedOn w:val="a1"/>
    <w:rsid w:val="00947B88"/>
    <w:pPr>
      <w:numPr>
        <w:numId w:val="2"/>
      </w:numPr>
      <w:spacing w:line="360" w:lineRule="auto"/>
      <w:jc w:val="both"/>
    </w:pPr>
    <w:rPr>
      <w:bCs/>
      <w:snapToGrid w:val="0"/>
      <w:sz w:val="22"/>
      <w:szCs w:val="22"/>
    </w:rPr>
  </w:style>
  <w:style w:type="paragraph" w:customStyle="1" w:styleId="a5">
    <w:name w:val="Пункт б/н"/>
    <w:basedOn w:val="a1"/>
    <w:rsid w:val="00947B88"/>
    <w:pPr>
      <w:tabs>
        <w:tab w:val="left" w:pos="1134"/>
      </w:tabs>
      <w:spacing w:line="360" w:lineRule="auto"/>
      <w:ind w:firstLine="567"/>
      <w:jc w:val="both"/>
    </w:pPr>
    <w:rPr>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T2</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Пекутовская Татьяна Александровна</dc:creator>
  <cp:keywords/>
  <dc:description/>
  <cp:lastModifiedBy>Пекутовская Татьяна Александровна</cp:lastModifiedBy>
  <cp:revision>3</cp:revision>
  <dcterms:created xsi:type="dcterms:W3CDTF">2019-05-19T12:04:00Z</dcterms:created>
  <dcterms:modified xsi:type="dcterms:W3CDTF">2019-05-24T09:03:00Z</dcterms:modified>
</cp:coreProperties>
</file>