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02" w:rsidRPr="00EB4627" w:rsidRDefault="00BC6D2D" w:rsidP="003E3A02">
      <w:pPr>
        <w:pStyle w:val="1"/>
        <w:suppressAutoHyphens/>
        <w:spacing w:after="0" w:line="240" w:lineRule="auto"/>
        <w:contextualSpacing/>
        <w:jc w:val="left"/>
        <w:rPr>
          <w:b w:val="0"/>
          <w:sz w:val="24"/>
          <w:lang w:val="ru-RU"/>
        </w:rPr>
      </w:pPr>
      <w:bookmarkStart w:id="0" w:name="_GoBack"/>
      <w:bookmarkEnd w:id="0"/>
      <w:r w:rsidRPr="00EB4627">
        <w:rPr>
          <w:b w:val="0"/>
          <w:sz w:val="24"/>
          <w:lang w:val="ru-RU"/>
        </w:rPr>
        <w:t>Приложение №</w:t>
      </w:r>
      <w:r w:rsidR="00C80063" w:rsidRPr="00EB4627">
        <w:rPr>
          <w:b w:val="0"/>
          <w:sz w:val="24"/>
          <w:lang w:val="ru-RU"/>
        </w:rPr>
        <w:t>5</w:t>
      </w:r>
      <w:r w:rsidR="006F380E" w:rsidRPr="00EB4627">
        <w:rPr>
          <w:b w:val="0"/>
          <w:sz w:val="24"/>
          <w:lang w:val="ru-RU"/>
        </w:rPr>
        <w:t xml:space="preserve"> </w:t>
      </w:r>
      <w:r w:rsidR="00EB4627" w:rsidRPr="00EB4627">
        <w:rPr>
          <w:b w:val="0"/>
          <w:bCs w:val="0"/>
          <w:lang w:val="ru-RU" w:eastAsia="x-none"/>
        </w:rPr>
        <w:t xml:space="preserve"> </w:t>
      </w:r>
      <w:r w:rsidR="00EB4627" w:rsidRPr="00EB4627">
        <w:rPr>
          <w:b w:val="0"/>
          <w:lang w:val="ru-RU"/>
        </w:rPr>
        <w:t>к Техническому заданию на разработку проекта «Техперевооружение склада хранения мазута Тюменской ТЭЦ-2».</w:t>
      </w:r>
    </w:p>
    <w:p w:rsidR="00DC4CCD" w:rsidRPr="00DC4CCD" w:rsidRDefault="00DC4CCD" w:rsidP="00DC4CCD">
      <w:pPr>
        <w:rPr>
          <w:lang w:eastAsia="zh-CN"/>
        </w:rPr>
      </w:pPr>
    </w:p>
    <w:p w:rsidR="00DC4CCD" w:rsidRPr="00DC4CCD" w:rsidRDefault="00DC4CCD" w:rsidP="00DC4CCD">
      <w:pPr>
        <w:pStyle w:val="1"/>
        <w:suppressAutoHyphens/>
        <w:contextualSpacing/>
        <w:rPr>
          <w:sz w:val="28"/>
          <w:szCs w:val="28"/>
          <w:lang w:val="ru-RU"/>
        </w:rPr>
      </w:pPr>
      <w:r w:rsidRPr="001E572A">
        <w:rPr>
          <w:sz w:val="28"/>
          <w:szCs w:val="28"/>
          <w:lang w:val="ru-RU"/>
        </w:rPr>
        <w:t>Характеристики</w:t>
      </w:r>
      <w:r w:rsidRPr="00DC4C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DC4CCD">
        <w:rPr>
          <w:sz w:val="28"/>
          <w:szCs w:val="28"/>
          <w:lang w:val="ru-RU"/>
        </w:rPr>
        <w:t>клад</w:t>
      </w:r>
      <w:r>
        <w:rPr>
          <w:sz w:val="28"/>
          <w:szCs w:val="28"/>
          <w:lang w:val="ru-RU"/>
        </w:rPr>
        <w:t>а</w:t>
      </w:r>
      <w:r w:rsidRPr="00DC4CCD">
        <w:rPr>
          <w:sz w:val="28"/>
          <w:szCs w:val="28"/>
          <w:lang w:val="ru-RU"/>
        </w:rPr>
        <w:t xml:space="preserve"> хранения мазута</w:t>
      </w:r>
      <w:r>
        <w:rPr>
          <w:sz w:val="28"/>
          <w:szCs w:val="28"/>
          <w:lang w:val="ru-RU"/>
        </w:rPr>
        <w:t>.</w:t>
      </w:r>
    </w:p>
    <w:p w:rsidR="00DC4CCD" w:rsidRPr="00DC4CCD" w:rsidRDefault="00DC4CCD" w:rsidP="00DC4CCD">
      <w:pPr>
        <w:pStyle w:val="1"/>
        <w:suppressAutoHyphens/>
        <w:contextualSpacing/>
        <w:jc w:val="both"/>
        <w:rPr>
          <w:b w:val="0"/>
          <w:sz w:val="24"/>
          <w:lang w:val="ru-RU"/>
        </w:rPr>
      </w:pPr>
      <w:r w:rsidRPr="00DC4CCD">
        <w:rPr>
          <w:b w:val="0"/>
          <w:sz w:val="24"/>
          <w:lang w:val="ru-RU"/>
        </w:rPr>
        <w:t>Склад хранения ма</w:t>
      </w:r>
      <w:r w:rsidR="008522C5">
        <w:rPr>
          <w:b w:val="0"/>
          <w:sz w:val="24"/>
          <w:lang w:val="ru-RU"/>
        </w:rPr>
        <w:t>зута состоит из; мазутонасосной,</w:t>
      </w:r>
      <w:r w:rsidRPr="00DC4CCD">
        <w:rPr>
          <w:b w:val="0"/>
          <w:sz w:val="24"/>
          <w:lang w:val="ru-RU"/>
        </w:rPr>
        <w:t xml:space="preserve"> двухпутного приемно-сливного устройства длиной 210м.</w:t>
      </w:r>
    </w:p>
    <w:p w:rsidR="00DC4CCD" w:rsidRPr="00DC4CCD" w:rsidRDefault="00DC4CCD" w:rsidP="00DC4CCD">
      <w:pPr>
        <w:pStyle w:val="1"/>
        <w:suppressAutoHyphens/>
        <w:contextualSpacing/>
        <w:jc w:val="both"/>
        <w:rPr>
          <w:b w:val="0"/>
          <w:sz w:val="24"/>
          <w:lang w:val="ru-RU"/>
        </w:rPr>
      </w:pPr>
      <w:r w:rsidRPr="00DC4CCD">
        <w:rPr>
          <w:b w:val="0"/>
          <w:sz w:val="24"/>
          <w:lang w:val="ru-RU"/>
        </w:rPr>
        <w:t>Склад хранения мазута ТТЭЦ-2 состоит из 4 х надземных стальных резервуаров со ста</w:t>
      </w:r>
      <w:r>
        <w:rPr>
          <w:b w:val="0"/>
          <w:sz w:val="24"/>
          <w:lang w:val="ru-RU"/>
        </w:rPr>
        <w:t xml:space="preserve">ционарной крышей типа РВС-20000, </w:t>
      </w:r>
      <w:r w:rsidRPr="00DC4CCD">
        <w:rPr>
          <w:b w:val="0"/>
          <w:sz w:val="24"/>
          <w:lang w:val="ru-RU"/>
        </w:rPr>
        <w:t>резервуары установлены в обваловании  и оборудованы:</w:t>
      </w:r>
    </w:p>
    <w:p w:rsidR="00DC4CCD" w:rsidRPr="00DC4CCD" w:rsidRDefault="00DC4CCD" w:rsidP="00DC4CCD">
      <w:pPr>
        <w:pStyle w:val="1"/>
        <w:suppressAutoHyphens/>
        <w:contextualSpacing/>
        <w:jc w:val="both"/>
        <w:rPr>
          <w:b w:val="0"/>
          <w:sz w:val="24"/>
          <w:lang w:val="ru-RU"/>
        </w:rPr>
      </w:pPr>
      <w:r w:rsidRPr="00DC4CCD">
        <w:rPr>
          <w:b w:val="0"/>
          <w:sz w:val="24"/>
          <w:lang w:val="ru-RU"/>
        </w:rPr>
        <w:t>o Системами автоматического пенного и водяного пожаротушения.</w:t>
      </w:r>
    </w:p>
    <w:p w:rsidR="00DC4CCD" w:rsidRPr="00DC4CCD" w:rsidRDefault="00DC4CCD" w:rsidP="00DC4CCD">
      <w:pPr>
        <w:pStyle w:val="1"/>
        <w:suppressAutoHyphens/>
        <w:contextualSpacing/>
        <w:jc w:val="both"/>
        <w:rPr>
          <w:b w:val="0"/>
          <w:sz w:val="24"/>
          <w:lang w:val="ru-RU"/>
        </w:rPr>
      </w:pPr>
      <w:r w:rsidRPr="00DC4CCD">
        <w:rPr>
          <w:b w:val="0"/>
          <w:sz w:val="24"/>
          <w:lang w:val="ru-RU"/>
        </w:rPr>
        <w:t>o Системой пожарной сигнализации и автоматического пожаротушения.</w:t>
      </w:r>
    </w:p>
    <w:p w:rsidR="00DC4CCD" w:rsidRPr="00DC4CCD" w:rsidRDefault="00DC4CCD" w:rsidP="00DC4CCD">
      <w:pPr>
        <w:pStyle w:val="1"/>
        <w:suppressAutoHyphens/>
        <w:contextualSpacing/>
        <w:jc w:val="both"/>
        <w:rPr>
          <w:b w:val="0"/>
          <w:sz w:val="24"/>
          <w:lang w:val="ru-RU"/>
        </w:rPr>
      </w:pPr>
      <w:r w:rsidRPr="00DC4CCD">
        <w:rPr>
          <w:b w:val="0"/>
          <w:sz w:val="24"/>
          <w:lang w:val="ru-RU"/>
        </w:rPr>
        <w:t>o Системой молниезащиты и заземления состоящей из мачт - молниеотводов, заземлителей, металлосвязи, заземляющих проводников.</w:t>
      </w:r>
    </w:p>
    <w:p w:rsidR="00DC4CCD" w:rsidRPr="00DC4CCD" w:rsidRDefault="00DC4CCD" w:rsidP="00DC4CCD">
      <w:pPr>
        <w:pStyle w:val="1"/>
        <w:suppressAutoHyphens/>
        <w:contextualSpacing/>
        <w:jc w:val="both"/>
        <w:rPr>
          <w:b w:val="0"/>
          <w:sz w:val="24"/>
          <w:lang w:val="ru-RU"/>
        </w:rPr>
      </w:pPr>
      <w:r w:rsidRPr="00DC4CCD">
        <w:rPr>
          <w:b w:val="0"/>
          <w:sz w:val="24"/>
          <w:lang w:val="ru-RU"/>
        </w:rPr>
        <w:t>o Системой контроля до взрывных концентраций (СКДК), состоящей из комплекса газоанализаторов взрывоопасных газов и паров "СИГМА-1М" в комплекте с датчиками пропана исполнения IP 54 10%НКПР, звуковых и световых оповещателей, существующей радиотрансляционной сети поисковой связи, существующей телефонной связи.</w:t>
      </w:r>
    </w:p>
    <w:p w:rsidR="00DC4CCD" w:rsidRPr="00DC4CCD" w:rsidRDefault="00DC4CCD" w:rsidP="00DC4CCD">
      <w:pPr>
        <w:pStyle w:val="1"/>
        <w:suppressAutoHyphens/>
        <w:contextualSpacing/>
        <w:jc w:val="both"/>
        <w:rPr>
          <w:b w:val="0"/>
          <w:sz w:val="24"/>
          <w:lang w:val="ru-RU"/>
        </w:rPr>
      </w:pPr>
      <w:r w:rsidRPr="00DC4CCD">
        <w:rPr>
          <w:b w:val="0"/>
          <w:sz w:val="24"/>
          <w:lang w:val="ru-RU"/>
        </w:rPr>
        <w:t>o Системой сбора протечек с дренажной емкостью и насосами.</w:t>
      </w:r>
    </w:p>
    <w:p w:rsidR="00DC4CCD" w:rsidRPr="00DC4CCD" w:rsidRDefault="00DC4CCD" w:rsidP="00DC4CCD">
      <w:pPr>
        <w:pStyle w:val="1"/>
        <w:suppressAutoHyphens/>
        <w:contextualSpacing/>
        <w:jc w:val="both"/>
        <w:rPr>
          <w:b w:val="0"/>
          <w:sz w:val="24"/>
          <w:lang w:val="ru-RU"/>
        </w:rPr>
      </w:pPr>
      <w:r w:rsidRPr="00DC4CCD">
        <w:rPr>
          <w:b w:val="0"/>
          <w:sz w:val="24"/>
          <w:lang w:val="ru-RU"/>
        </w:rPr>
        <w:t xml:space="preserve">o Система парового разогрева, пароспутники, система рециркуляции мазута с насосами.     </w:t>
      </w:r>
    </w:p>
    <w:p w:rsidR="00EC4905" w:rsidRPr="00DC4CCD" w:rsidRDefault="00EC4905" w:rsidP="00DC4CCD">
      <w:pPr>
        <w:pStyle w:val="1"/>
        <w:suppressAutoHyphens/>
        <w:spacing w:after="0" w:line="240" w:lineRule="auto"/>
        <w:contextualSpacing/>
        <w:rPr>
          <w:b w:val="0"/>
          <w:bCs w:val="0"/>
          <w:sz w:val="28"/>
          <w:szCs w:val="28"/>
          <w:lang w:val="ru-RU"/>
        </w:rPr>
      </w:pPr>
      <w:r w:rsidRPr="001E572A">
        <w:rPr>
          <w:sz w:val="28"/>
          <w:szCs w:val="28"/>
          <w:lang w:val="ru-RU"/>
        </w:rPr>
        <w:t>Характеристики мазутных резервуаров МБ-1</w:t>
      </w:r>
      <w:r w:rsidR="001E572A" w:rsidRPr="001E572A">
        <w:rPr>
          <w:b w:val="0"/>
          <w:bCs w:val="0"/>
          <w:sz w:val="28"/>
          <w:szCs w:val="28"/>
          <w:lang w:val="ru-RU"/>
        </w:rPr>
        <w:t>-</w:t>
      </w:r>
      <w:r w:rsidR="001E572A" w:rsidRPr="001E572A">
        <w:rPr>
          <w:bCs w:val="0"/>
          <w:sz w:val="28"/>
          <w:szCs w:val="28"/>
          <w:lang w:val="ru-RU"/>
        </w:rPr>
        <w:t>3</w:t>
      </w:r>
      <w:r w:rsidR="00C80063">
        <w:rPr>
          <w:sz w:val="28"/>
          <w:szCs w:val="28"/>
          <w:lang w:val="ru-RU"/>
        </w:rPr>
        <w:t>.</w:t>
      </w:r>
    </w:p>
    <w:p w:rsidR="00DE690D" w:rsidRDefault="006F380E" w:rsidP="00EC4905">
      <w:pPr>
        <w:contextualSpacing/>
      </w:pPr>
      <w:r>
        <w:rPr>
          <w:b/>
          <w:bCs/>
        </w:rPr>
        <w:t>Характер</w:t>
      </w:r>
      <w:r w:rsidR="001E572A">
        <w:rPr>
          <w:b/>
          <w:bCs/>
        </w:rPr>
        <w:t>истика мазутных</w:t>
      </w:r>
      <w:r w:rsidR="00BC6D2D">
        <w:rPr>
          <w:b/>
          <w:bCs/>
        </w:rPr>
        <w:t xml:space="preserve"> </w:t>
      </w:r>
      <w:r w:rsidR="001E572A">
        <w:rPr>
          <w:b/>
          <w:bCs/>
        </w:rPr>
        <w:t>резервуаров</w:t>
      </w:r>
      <w:r w:rsidR="00BC6D2D">
        <w:rPr>
          <w:b/>
          <w:bCs/>
        </w:rPr>
        <w:t xml:space="preserve"> </w:t>
      </w:r>
      <w:r w:rsidR="00EC4905">
        <w:rPr>
          <w:b/>
          <w:bCs/>
        </w:rPr>
        <w:t>МБ-1</w:t>
      </w:r>
      <w:r w:rsidR="005C320B">
        <w:rPr>
          <w:b/>
          <w:bCs/>
        </w:rPr>
        <w:t>,2,</w:t>
      </w:r>
      <w:r w:rsidR="001E572A">
        <w:rPr>
          <w:b/>
          <w:bCs/>
        </w:rPr>
        <w:t>3</w:t>
      </w:r>
      <w:r w:rsidR="00EC4905">
        <w:rPr>
          <w:b/>
          <w:bCs/>
        </w:rPr>
        <w:t xml:space="preserve"> типа РВС-2</w:t>
      </w:r>
      <w:r w:rsidR="004A7299">
        <w:rPr>
          <w:b/>
          <w:bCs/>
        </w:rPr>
        <w:t>0</w:t>
      </w:r>
      <w:r w:rsidR="00EC4905">
        <w:rPr>
          <w:b/>
          <w:bCs/>
        </w:rPr>
        <w:t>000:</w:t>
      </w:r>
    </w:p>
    <w:p w:rsidR="00F847AA" w:rsidRPr="00F847AA" w:rsidRDefault="005C320B" w:rsidP="004A7299">
      <w:pPr>
        <w:ind w:firstLine="709"/>
        <w:contextualSpacing/>
        <w:jc w:val="both"/>
        <w:rPr>
          <w:bCs/>
        </w:rPr>
      </w:pPr>
      <w:r>
        <w:rPr>
          <w:bCs/>
        </w:rPr>
        <w:t>Мазутные</w:t>
      </w:r>
      <w:r w:rsidR="004A7299">
        <w:rPr>
          <w:bCs/>
        </w:rPr>
        <w:t xml:space="preserve"> резервуар</w:t>
      </w:r>
      <w:r>
        <w:rPr>
          <w:bCs/>
        </w:rPr>
        <w:t>ы</w:t>
      </w:r>
      <w:r w:rsidR="00F847AA" w:rsidRPr="00F847AA">
        <w:rPr>
          <w:bCs/>
        </w:rPr>
        <w:t xml:space="preserve"> типа РВС-20000 находится на мазутн</w:t>
      </w:r>
      <w:r w:rsidR="00BC6D2D">
        <w:rPr>
          <w:bCs/>
        </w:rPr>
        <w:t>ом хозяйстве ТТЭЦ-2. Резервуар –</w:t>
      </w:r>
      <w:r w:rsidR="00F847AA" w:rsidRPr="00F847AA">
        <w:rPr>
          <w:bCs/>
        </w:rPr>
        <w:t xml:space="preserve"> с</w:t>
      </w:r>
      <w:r w:rsidR="00BC6D2D">
        <w:rPr>
          <w:bCs/>
        </w:rPr>
        <w:t>тальной, вертикальный</w:t>
      </w:r>
      <w:r w:rsidR="00F847AA" w:rsidRPr="00F847AA">
        <w:rPr>
          <w:bCs/>
        </w:rPr>
        <w:t xml:space="preserve">, цилиндрический емкостью 20000 м³ для хранения нефти и нефтепродуктов. Геометрические </w:t>
      </w:r>
      <w:r w:rsidR="00BC6D2D">
        <w:rPr>
          <w:bCs/>
        </w:rPr>
        <w:t xml:space="preserve">размеры резервуара: внутренний </w:t>
      </w:r>
      <w:r w:rsidR="00F847AA" w:rsidRPr="00F847AA">
        <w:rPr>
          <w:bCs/>
        </w:rPr>
        <w:t xml:space="preserve">диаметр </w:t>
      </w:r>
      <w:r w:rsidR="00BC6D2D">
        <w:rPr>
          <w:bCs/>
        </w:rPr>
        <w:t>–</w:t>
      </w:r>
      <w:r w:rsidR="00F847AA" w:rsidRPr="00F847AA">
        <w:rPr>
          <w:bCs/>
        </w:rPr>
        <w:t xml:space="preserve"> 45,6 м; высота стенки </w:t>
      </w:r>
      <w:r w:rsidR="00BC6D2D">
        <w:rPr>
          <w:bCs/>
        </w:rPr>
        <w:t xml:space="preserve">– </w:t>
      </w:r>
      <w:r w:rsidR="00F847AA" w:rsidRPr="00F847AA">
        <w:rPr>
          <w:bCs/>
        </w:rPr>
        <w:t xml:space="preserve">11,920 м; полезная емкость </w:t>
      </w:r>
      <w:r w:rsidR="00BC6D2D">
        <w:rPr>
          <w:bCs/>
        </w:rPr>
        <w:t>–</w:t>
      </w:r>
      <w:r w:rsidR="00F847AA" w:rsidRPr="00F847AA">
        <w:rPr>
          <w:bCs/>
        </w:rPr>
        <w:t xml:space="preserve"> 19</w:t>
      </w:r>
      <w:r w:rsidR="00BC6D2D">
        <w:rPr>
          <w:bCs/>
        </w:rPr>
        <w:t xml:space="preserve"> 450 м³. </w:t>
      </w:r>
      <w:r w:rsidR="00F847AA" w:rsidRPr="00F847AA">
        <w:rPr>
          <w:bCs/>
        </w:rPr>
        <w:t>Стенка резервуара разбита по высоте на 8 поясов высотой 1</w:t>
      </w:r>
      <w:r w:rsidR="00BC6D2D">
        <w:rPr>
          <w:bCs/>
        </w:rPr>
        <w:t xml:space="preserve"> </w:t>
      </w:r>
      <w:r w:rsidR="00F847AA" w:rsidRPr="00F847AA">
        <w:rPr>
          <w:bCs/>
        </w:rPr>
        <w:t>490 мм.</w:t>
      </w:r>
      <w:r w:rsidR="004A7299">
        <w:rPr>
          <w:bCs/>
        </w:rPr>
        <w:t xml:space="preserve"> </w:t>
      </w:r>
      <w:r w:rsidR="00BC6D2D">
        <w:rPr>
          <w:bCs/>
        </w:rPr>
        <w:t xml:space="preserve">Толщина стенки: </w:t>
      </w:r>
      <w:r w:rsidR="00F847AA" w:rsidRPr="00F847AA">
        <w:rPr>
          <w:bCs/>
        </w:rPr>
        <w:t xml:space="preserve">первого пояса составляет </w:t>
      </w:r>
      <w:r w:rsidR="00BC6D2D">
        <w:rPr>
          <w:bCs/>
        </w:rPr>
        <w:t xml:space="preserve">– </w:t>
      </w:r>
      <w:r w:rsidR="00F847AA" w:rsidRPr="00F847AA">
        <w:rPr>
          <w:bCs/>
        </w:rPr>
        <w:t>13 мм, для остальных поясов</w:t>
      </w:r>
      <w:r w:rsidR="00BC6D2D">
        <w:rPr>
          <w:bCs/>
        </w:rPr>
        <w:t xml:space="preserve"> – </w:t>
      </w:r>
      <w:r w:rsidR="00F847AA" w:rsidRPr="00F847AA">
        <w:rPr>
          <w:bCs/>
        </w:rPr>
        <w:t>11</w:t>
      </w:r>
      <w:r w:rsidR="00BC6D2D">
        <w:rPr>
          <w:bCs/>
        </w:rPr>
        <w:t xml:space="preserve"> </w:t>
      </w:r>
      <w:r w:rsidR="00F847AA" w:rsidRPr="00F847AA">
        <w:rPr>
          <w:bCs/>
        </w:rPr>
        <w:t>мм.</w:t>
      </w:r>
      <w:r w:rsidR="00BC6D2D">
        <w:rPr>
          <w:bCs/>
        </w:rPr>
        <w:t xml:space="preserve"> Материал стенки – сталь </w:t>
      </w:r>
      <w:r w:rsidR="00BC6D2D" w:rsidRPr="00F847AA">
        <w:rPr>
          <w:bCs/>
        </w:rPr>
        <w:t>09Г2С</w:t>
      </w:r>
      <w:r w:rsidR="00BC6D2D">
        <w:rPr>
          <w:bCs/>
        </w:rPr>
        <w:t>.</w:t>
      </w:r>
    </w:p>
    <w:p w:rsidR="00F847AA" w:rsidRPr="00F847AA" w:rsidRDefault="00F847AA" w:rsidP="00BC6D2D">
      <w:pPr>
        <w:ind w:firstLine="709"/>
        <w:contextualSpacing/>
        <w:jc w:val="both"/>
        <w:rPr>
          <w:bCs/>
        </w:rPr>
      </w:pPr>
      <w:r w:rsidRPr="00F847AA">
        <w:rPr>
          <w:bCs/>
        </w:rPr>
        <w:t xml:space="preserve">Днище резервуара изготовлено из листов </w:t>
      </w:r>
      <w:r w:rsidR="00BC6D2D">
        <w:rPr>
          <w:bCs/>
        </w:rPr>
        <w:t xml:space="preserve">толщеной 6 мм, толщина окрайки </w:t>
      </w:r>
      <w:r w:rsidRPr="00F847AA">
        <w:rPr>
          <w:bCs/>
        </w:rPr>
        <w:t>днища 11 мм.</w:t>
      </w:r>
    </w:p>
    <w:p w:rsidR="00F847AA" w:rsidRPr="00F847AA" w:rsidRDefault="00F847AA" w:rsidP="004A7299">
      <w:pPr>
        <w:ind w:firstLine="709"/>
        <w:contextualSpacing/>
        <w:jc w:val="both"/>
        <w:rPr>
          <w:bCs/>
        </w:rPr>
      </w:pPr>
      <w:r w:rsidRPr="00F847AA">
        <w:rPr>
          <w:bCs/>
        </w:rPr>
        <w:t>Кровля резервуара состоит из 24 сборных щитов (сегментов),опирающихся одним концом на стенки, а другим</w:t>
      </w:r>
      <w:r w:rsidR="00BC6D2D">
        <w:rPr>
          <w:bCs/>
        </w:rPr>
        <w:t xml:space="preserve"> концом – на центральное кольцо</w:t>
      </w:r>
      <w:r w:rsidRPr="00F847AA">
        <w:rPr>
          <w:bCs/>
        </w:rPr>
        <w:t>.</w:t>
      </w:r>
      <w:r w:rsidR="00BC6D2D">
        <w:rPr>
          <w:bCs/>
        </w:rPr>
        <w:t xml:space="preserve"> </w:t>
      </w:r>
      <w:r w:rsidRPr="00F847AA">
        <w:rPr>
          <w:bCs/>
        </w:rPr>
        <w:t>Толщина листов кровельных щитов составляет</w:t>
      </w:r>
      <w:r w:rsidR="00BC6D2D">
        <w:rPr>
          <w:bCs/>
        </w:rPr>
        <w:t xml:space="preserve"> – </w:t>
      </w:r>
      <w:r w:rsidRPr="00F847AA">
        <w:rPr>
          <w:bCs/>
        </w:rPr>
        <w:t>4 мм.</w:t>
      </w:r>
    </w:p>
    <w:p w:rsidR="00F847AA" w:rsidRDefault="00BC6D2D" w:rsidP="00BC6D2D">
      <w:pPr>
        <w:ind w:firstLine="709"/>
        <w:contextualSpacing/>
        <w:jc w:val="both"/>
        <w:rPr>
          <w:bCs/>
        </w:rPr>
      </w:pPr>
      <w:r>
        <w:rPr>
          <w:bCs/>
        </w:rPr>
        <w:t xml:space="preserve">Внутренняя поверхность </w:t>
      </w:r>
      <w:r w:rsidR="00F847AA" w:rsidRPr="00F847AA">
        <w:rPr>
          <w:bCs/>
        </w:rPr>
        <w:t>двух верхних листов стенки и кровли бака обрабатывается</w:t>
      </w:r>
      <w:r>
        <w:rPr>
          <w:bCs/>
        </w:rPr>
        <w:t xml:space="preserve"> антикоррозийным покрытием, на наружную поверхность наносится </w:t>
      </w:r>
      <w:r w:rsidR="00F847AA" w:rsidRPr="00F847AA">
        <w:rPr>
          <w:bCs/>
        </w:rPr>
        <w:t>окраска. На стенке и кровле уложена тепловая изо</w:t>
      </w:r>
      <w:r>
        <w:rPr>
          <w:bCs/>
        </w:rPr>
        <w:t>ляция из минераловатных матов М-</w:t>
      </w:r>
      <w:r w:rsidR="00F847AA" w:rsidRPr="00F847AA">
        <w:rPr>
          <w:bCs/>
        </w:rPr>
        <w:t>150 толщиной 80 мм в обкладке их мет</w:t>
      </w:r>
      <w:r>
        <w:rPr>
          <w:bCs/>
        </w:rPr>
        <w:t>аллической сетки с обеих сторон</w:t>
      </w:r>
      <w:r w:rsidR="00F847AA" w:rsidRPr="00F847AA">
        <w:rPr>
          <w:bCs/>
        </w:rPr>
        <w:t>.</w:t>
      </w:r>
      <w:r>
        <w:rPr>
          <w:bCs/>
        </w:rPr>
        <w:t xml:space="preserve"> </w:t>
      </w:r>
      <w:r w:rsidR="00F847AA" w:rsidRPr="00F847AA">
        <w:rPr>
          <w:bCs/>
        </w:rPr>
        <w:t>Для обшивки теплоизоляции предусмотрен профилированный алюминиевый лист марки ЛАГ-3.</w:t>
      </w:r>
    </w:p>
    <w:p w:rsidR="006F380E" w:rsidRDefault="006F380E" w:rsidP="00BC6D2D">
      <w:pPr>
        <w:ind w:firstLine="709"/>
        <w:contextualSpacing/>
        <w:jc w:val="both"/>
        <w:rPr>
          <w:bCs/>
        </w:rPr>
      </w:pPr>
      <w:r w:rsidRPr="00B64C5C">
        <w:rPr>
          <w:bCs/>
        </w:rPr>
        <w:t>Средства контроля и управления реализованы на традиционных средствах</w:t>
      </w:r>
      <w:r w:rsidR="00BC6D2D">
        <w:rPr>
          <w:bCs/>
        </w:rPr>
        <w:t>. В качестве первичных датчиков</w:t>
      </w:r>
      <w:r w:rsidRPr="00B64C5C">
        <w:rPr>
          <w:bCs/>
        </w:rPr>
        <w:t>: для измерения температуры применяются датчики типа ТСМ-50М, для измерения давления датчики типа МЭД, для измерения расхода, уровня датчики типа ДМЭ</w:t>
      </w:r>
      <w:r w:rsidR="00BC6D2D">
        <w:rPr>
          <w:bCs/>
        </w:rPr>
        <w:t>Р, ИСУ-3. В качестве вторичных:</w:t>
      </w:r>
      <w:r w:rsidRPr="00B64C5C">
        <w:rPr>
          <w:bCs/>
        </w:rPr>
        <w:t xml:space="preserve"> приборы серии «КС» и РП-160. Электрифицированная арматура во взрывозащитном исполнении, привод регуляторов типа МЭО. Система загазованности территории и помещений реализована на первич</w:t>
      </w:r>
      <w:r w:rsidR="00BC6D2D">
        <w:rPr>
          <w:bCs/>
        </w:rPr>
        <w:t>ных датчиках типа Д1П54 (</w:t>
      </w:r>
      <w:r w:rsidRPr="00B64C5C">
        <w:rPr>
          <w:bCs/>
        </w:rPr>
        <w:t>с сенсорами типа ТКС-1 и ДТК-1-3,0) и вторичных приборах типа «Сигма-1М».</w:t>
      </w:r>
    </w:p>
    <w:p w:rsidR="00A10D86" w:rsidRDefault="006F3951" w:rsidP="00A10D86">
      <w:pPr>
        <w:contextualSpacing/>
        <w:jc w:val="both"/>
        <w:rPr>
          <w:bCs/>
        </w:rPr>
      </w:pPr>
      <w:r>
        <w:rPr>
          <w:bCs/>
        </w:rPr>
        <w:t xml:space="preserve">Максимально допустимый </w:t>
      </w:r>
      <w:r w:rsidR="00A10D86">
        <w:rPr>
          <w:bCs/>
        </w:rPr>
        <w:t>уровень налива</w:t>
      </w:r>
      <w:r>
        <w:rPr>
          <w:bCs/>
        </w:rPr>
        <w:t xml:space="preserve"> нефтепродуктов в МБ-1,2,</w:t>
      </w:r>
      <w:r w:rsidR="00A10D86">
        <w:rPr>
          <w:bCs/>
        </w:rPr>
        <w:t>3</w:t>
      </w:r>
      <w:r w:rsidR="00E6064C">
        <w:rPr>
          <w:bCs/>
        </w:rPr>
        <w:t xml:space="preserve"> составляет</w:t>
      </w:r>
      <w:r>
        <w:rPr>
          <w:bCs/>
        </w:rPr>
        <w:t xml:space="preserve"> 85% от геометрической вместимости</w:t>
      </w:r>
      <w:r w:rsidR="00A10D86">
        <w:rPr>
          <w:bCs/>
        </w:rPr>
        <w:t>.</w:t>
      </w:r>
    </w:p>
    <w:p w:rsidR="006F380E" w:rsidRPr="00C96124" w:rsidRDefault="006F380E" w:rsidP="00BC6D2D">
      <w:pPr>
        <w:contextualSpacing/>
        <w:jc w:val="both"/>
      </w:pPr>
    </w:p>
    <w:sectPr w:rsidR="006F380E" w:rsidRPr="00C96124" w:rsidSect="007B5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709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28" w:rsidRDefault="00B41628" w:rsidP="006F380E">
      <w:r>
        <w:separator/>
      </w:r>
    </w:p>
  </w:endnote>
  <w:endnote w:type="continuationSeparator" w:id="0">
    <w:p w:rsidR="00B41628" w:rsidRDefault="00B41628" w:rsidP="006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E" w:rsidRDefault="006F38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E" w:rsidRDefault="006F38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E" w:rsidRDefault="006F3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28" w:rsidRDefault="00B41628" w:rsidP="006F380E">
      <w:r>
        <w:separator/>
      </w:r>
    </w:p>
  </w:footnote>
  <w:footnote w:type="continuationSeparator" w:id="0">
    <w:p w:rsidR="00B41628" w:rsidRDefault="00B41628" w:rsidP="006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E" w:rsidRDefault="006F3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E" w:rsidRDefault="006F38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E" w:rsidRDefault="006F3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F1"/>
    <w:rsid w:val="00003105"/>
    <w:rsid w:val="000672F7"/>
    <w:rsid w:val="000913E5"/>
    <w:rsid w:val="00096CFF"/>
    <w:rsid w:val="000F3432"/>
    <w:rsid w:val="0017350C"/>
    <w:rsid w:val="001E572A"/>
    <w:rsid w:val="00235E03"/>
    <w:rsid w:val="00294175"/>
    <w:rsid w:val="002C1762"/>
    <w:rsid w:val="00344956"/>
    <w:rsid w:val="00365504"/>
    <w:rsid w:val="003E3A02"/>
    <w:rsid w:val="00437AE5"/>
    <w:rsid w:val="00451764"/>
    <w:rsid w:val="004A7299"/>
    <w:rsid w:val="005C320B"/>
    <w:rsid w:val="005C783E"/>
    <w:rsid w:val="005D6F92"/>
    <w:rsid w:val="006437C9"/>
    <w:rsid w:val="006717B3"/>
    <w:rsid w:val="006C04BF"/>
    <w:rsid w:val="006F380E"/>
    <w:rsid w:val="006F3951"/>
    <w:rsid w:val="007337DF"/>
    <w:rsid w:val="007B5E07"/>
    <w:rsid w:val="008522C5"/>
    <w:rsid w:val="008B69F9"/>
    <w:rsid w:val="008D339C"/>
    <w:rsid w:val="00943C77"/>
    <w:rsid w:val="00A10D86"/>
    <w:rsid w:val="00A15E81"/>
    <w:rsid w:val="00A815EA"/>
    <w:rsid w:val="00AD3B7D"/>
    <w:rsid w:val="00AE149F"/>
    <w:rsid w:val="00B41628"/>
    <w:rsid w:val="00B4775F"/>
    <w:rsid w:val="00B86FBD"/>
    <w:rsid w:val="00BC6D2D"/>
    <w:rsid w:val="00BE65D9"/>
    <w:rsid w:val="00C53DA8"/>
    <w:rsid w:val="00C640F1"/>
    <w:rsid w:val="00C73411"/>
    <w:rsid w:val="00C80063"/>
    <w:rsid w:val="00C96124"/>
    <w:rsid w:val="00CF0C10"/>
    <w:rsid w:val="00D12E2A"/>
    <w:rsid w:val="00D5773F"/>
    <w:rsid w:val="00DC4CCD"/>
    <w:rsid w:val="00DE690D"/>
    <w:rsid w:val="00E03D68"/>
    <w:rsid w:val="00E50C7F"/>
    <w:rsid w:val="00E5706E"/>
    <w:rsid w:val="00E6064C"/>
    <w:rsid w:val="00E75941"/>
    <w:rsid w:val="00E76C96"/>
    <w:rsid w:val="00EB4627"/>
    <w:rsid w:val="00EC4905"/>
    <w:rsid w:val="00EF6F84"/>
    <w:rsid w:val="00F847AA"/>
    <w:rsid w:val="00FB1E05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F57E7-1CD9-4014-BD11-848AAA1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3E5"/>
    <w:pPr>
      <w:keepNext/>
      <w:spacing w:after="200" w:line="276" w:lineRule="auto"/>
      <w:jc w:val="center"/>
      <w:outlineLvl w:val="0"/>
    </w:pPr>
    <w:rPr>
      <w:b/>
      <w:bCs/>
      <w:sz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380E"/>
  </w:style>
  <w:style w:type="paragraph" w:styleId="a5">
    <w:name w:val="footer"/>
    <w:basedOn w:val="a"/>
    <w:link w:val="a6"/>
    <w:uiPriority w:val="99"/>
    <w:unhideWhenUsed/>
    <w:rsid w:val="006F38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380E"/>
  </w:style>
  <w:style w:type="paragraph" w:styleId="a7">
    <w:name w:val="Normal (Web)"/>
    <w:basedOn w:val="a"/>
    <w:uiPriority w:val="99"/>
    <w:rsid w:val="006F380E"/>
    <w:pPr>
      <w:spacing w:before="100" w:beforeAutospacing="1" w:after="100" w:afterAutospacing="1"/>
    </w:pPr>
    <w:rPr>
      <w:rFonts w:ascii="Tahoma" w:hAnsi="Tahoma" w:cs="Tahoma"/>
      <w:color w:val="464451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0913E5"/>
    <w:rPr>
      <w:rFonts w:ascii="Times New Roman" w:eastAsia="Times New Roman" w:hAnsi="Times New Roman" w:cs="Times New Roman"/>
      <w:b/>
      <w:bCs/>
      <w:sz w:val="20"/>
      <w:szCs w:val="24"/>
      <w:lang w:val="en-US" w:eastAsia="zh-CN"/>
    </w:rPr>
  </w:style>
  <w:style w:type="paragraph" w:styleId="a8">
    <w:name w:val="Body Text Indent"/>
    <w:basedOn w:val="a"/>
    <w:link w:val="a9"/>
    <w:rsid w:val="000913E5"/>
    <w:pPr>
      <w:spacing w:after="120" w:line="276" w:lineRule="auto"/>
      <w:ind w:left="283"/>
    </w:pPr>
    <w:rPr>
      <w:lang w:val="en-US" w:eastAsia="zh-CN"/>
    </w:rPr>
  </w:style>
  <w:style w:type="character" w:customStyle="1" w:styleId="a9">
    <w:name w:val="Основной текст с отступом Знак"/>
    <w:basedOn w:val="a0"/>
    <w:link w:val="a8"/>
    <w:rsid w:val="000913E5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Schelokov Andrey</dc:creator>
  <cp:keywords/>
  <dc:description/>
  <cp:lastModifiedBy>Marchenko Alexander Alexandrovich</cp:lastModifiedBy>
  <cp:revision>2</cp:revision>
  <dcterms:created xsi:type="dcterms:W3CDTF">2022-07-14T08:58:00Z</dcterms:created>
  <dcterms:modified xsi:type="dcterms:W3CDTF">2022-07-14T08:58:00Z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