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3B" w:rsidRPr="00755E12" w:rsidRDefault="00D8133B" w:rsidP="00D8133B">
      <w:p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669" w:right="153"/>
        <w:jc w:val="center"/>
        <w:rPr>
          <w:b/>
        </w:rPr>
      </w:pPr>
      <w:bookmarkStart w:id="0" w:name="_Ref353289180"/>
      <w:r>
        <w:rPr>
          <w:b/>
        </w:rPr>
        <w:t>Порядок  заполнения форм с помощью функционала ЭТП</w:t>
      </w:r>
      <w:bookmarkEnd w:id="0"/>
    </w:p>
    <w:p w:rsidR="00D8133B" w:rsidRPr="00755E12" w:rsidRDefault="00D8133B" w:rsidP="000147C5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669" w:right="153"/>
        <w:jc w:val="center"/>
        <w:rPr>
          <w:b/>
        </w:rPr>
      </w:pPr>
    </w:p>
    <w:p w:rsidR="00B10F72" w:rsidRDefault="000147C5" w:rsidP="000147C5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Заявка.</w:t>
      </w:r>
    </w:p>
    <w:p w:rsidR="00B72249" w:rsidRDefault="00B72249" w:rsidP="000147C5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График поставки товара</w:t>
      </w:r>
      <w:r w:rsidR="000147C5">
        <w:t xml:space="preserve"> с указанием следующей информации:</w:t>
      </w:r>
    </w:p>
    <w:p w:rsidR="00B72249" w:rsidRDefault="00B72249" w:rsidP="000147C5">
      <w:pPr>
        <w:pStyle w:val="a5"/>
        <w:tabs>
          <w:tab w:val="left" w:pos="993"/>
        </w:tabs>
        <w:ind w:left="0" w:firstLine="567"/>
        <w:jc w:val="both"/>
      </w:pPr>
      <w:r>
        <w:t>- планируемые даты (сроки) выполнения поставок;</w:t>
      </w:r>
    </w:p>
    <w:p w:rsidR="00B72249" w:rsidRDefault="00B72249" w:rsidP="000147C5">
      <w:pPr>
        <w:pStyle w:val="a5"/>
        <w:tabs>
          <w:tab w:val="left" w:pos="993"/>
        </w:tabs>
        <w:ind w:left="0" w:firstLine="567"/>
        <w:jc w:val="both"/>
      </w:pPr>
      <w:r>
        <w:t>-</w:t>
      </w:r>
      <w:r w:rsidR="000147C5">
        <w:t xml:space="preserve"> стоимость планируемых поставок.</w:t>
      </w:r>
    </w:p>
    <w:p w:rsidR="000147C5" w:rsidRDefault="000147C5" w:rsidP="000147C5">
      <w:pPr>
        <w:pStyle w:val="a5"/>
        <w:ind w:left="0" w:firstLine="567"/>
        <w:jc w:val="both"/>
      </w:pPr>
      <w:r w:rsidRPr="00D24990">
        <w:t>Планируемые даты (сроки) должны быть рассчитаны и</w:t>
      </w:r>
      <w:r w:rsidR="00C55B90">
        <w:t>сходя из предлагаемых участником</w:t>
      </w:r>
      <w:r w:rsidRPr="00D24990">
        <w:t xml:space="preserve"> дат (сроков) выполнения </w:t>
      </w:r>
      <w:r>
        <w:t>поставок</w:t>
      </w:r>
      <w:r w:rsidRPr="00D24990">
        <w:t xml:space="preserve">, учитывая планируемую дату заключения договора, указанную на ЭТП, а также </w:t>
      </w:r>
      <w:r>
        <w:t xml:space="preserve">сроки </w:t>
      </w:r>
      <w:r w:rsidRPr="00D24990">
        <w:t xml:space="preserve">выполнения </w:t>
      </w:r>
      <w:r>
        <w:t>поставок</w:t>
      </w:r>
      <w:r w:rsidRPr="00D24990">
        <w:t>, указанные в проекте договора (Часть 3 «Проект договора»</w:t>
      </w:r>
      <w:r>
        <w:t xml:space="preserve"> Тома 1</w:t>
      </w:r>
      <w:r w:rsidR="00C55B90">
        <w:t>) и, указанный в закупочной документации, требуемый срок поставки.</w:t>
      </w:r>
    </w:p>
    <w:p w:rsidR="000147C5" w:rsidRPr="005B2183" w:rsidRDefault="000147C5" w:rsidP="000147C5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5B2183">
        <w:t>График оплаты поставляемого товара с указанием следующей информации:</w:t>
      </w:r>
    </w:p>
    <w:p w:rsidR="000147C5" w:rsidRPr="005B2183" w:rsidRDefault="000147C5" w:rsidP="000147C5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right="153" w:firstLine="567"/>
        <w:jc w:val="both"/>
      </w:pPr>
      <w:r w:rsidRPr="005B2183">
        <w:t>планируемые даты (сроки) авансовых платежей (при наличии авансов в условиях платежей);</w:t>
      </w:r>
    </w:p>
    <w:p w:rsidR="000147C5" w:rsidRPr="005B2183" w:rsidRDefault="000147C5" w:rsidP="000147C5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right="153" w:firstLine="567"/>
        <w:jc w:val="both"/>
      </w:pPr>
      <w:r w:rsidRPr="005B2183">
        <w:t>размеры авансовых платежей, в рублях с НДС (при наличии авансов в условиях платежей);</w:t>
      </w:r>
    </w:p>
    <w:p w:rsidR="000147C5" w:rsidRPr="005B2183" w:rsidRDefault="000147C5" w:rsidP="000147C5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right="153" w:firstLine="567"/>
        <w:jc w:val="both"/>
      </w:pPr>
      <w:r w:rsidRPr="005B2183">
        <w:t>планируемые даты (сроки) остальных платежей;</w:t>
      </w:r>
    </w:p>
    <w:p w:rsidR="000147C5" w:rsidRPr="005B2183" w:rsidRDefault="000147C5" w:rsidP="000147C5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right="153" w:firstLine="567"/>
        <w:jc w:val="both"/>
      </w:pPr>
      <w:r w:rsidRPr="005B2183">
        <w:t>размер остальных платежей, в рублях с НДС.</w:t>
      </w:r>
    </w:p>
    <w:p w:rsidR="000147C5" w:rsidRPr="005B2183" w:rsidRDefault="000147C5" w:rsidP="000147C5">
      <w:pPr>
        <w:tabs>
          <w:tab w:val="left" w:pos="142"/>
          <w:tab w:val="left" w:pos="284"/>
          <w:tab w:val="left" w:pos="851"/>
          <w:tab w:val="left" w:pos="993"/>
        </w:tabs>
        <w:overflowPunct w:val="0"/>
        <w:autoSpaceDE w:val="0"/>
        <w:autoSpaceDN w:val="0"/>
        <w:adjustRightInd w:val="0"/>
        <w:ind w:right="153" w:firstLine="567"/>
        <w:jc w:val="both"/>
      </w:pPr>
      <w:r w:rsidRPr="005B2183">
        <w:t>Порядок заполнения формы график оплаты:</w:t>
      </w:r>
    </w:p>
    <w:p w:rsidR="000147C5" w:rsidRPr="005B2183" w:rsidRDefault="006305FE" w:rsidP="006305FE">
      <w:pPr>
        <w:tabs>
          <w:tab w:val="left" w:pos="142"/>
          <w:tab w:val="left" w:pos="284"/>
          <w:tab w:val="left" w:pos="851"/>
        </w:tabs>
        <w:overflowPunct w:val="0"/>
        <w:autoSpaceDE w:val="0"/>
        <w:autoSpaceDN w:val="0"/>
        <w:adjustRightInd w:val="0"/>
        <w:ind w:right="153" w:firstLine="567"/>
        <w:jc w:val="both"/>
      </w:pPr>
      <w:r w:rsidRPr="00D24990">
        <w:t>Планируемые даты (сроки) должны быть рассчитаны исходя из предлагаемых участником дат (сроков) условий платежей, учитывая планируемую дату заключения договора, указанную на ЭТП, а также условия платежей, указанные в проекте договора (Часть 3 «Проект договора»</w:t>
      </w:r>
      <w:r>
        <w:t xml:space="preserve"> Тома 1</w:t>
      </w:r>
      <w:r w:rsidRPr="00D24990">
        <w:t xml:space="preserve">) настоящей </w:t>
      </w:r>
      <w:r>
        <w:t xml:space="preserve">конкурсной </w:t>
      </w:r>
      <w:r w:rsidRPr="00D24990">
        <w:t>документации. Участник должен принять во внимание, что общая сумма всех платежей (в том числе по позиции) должна быть равна общей стоимости (в том числе по позиции), указанной в таблице стоимости</w:t>
      </w:r>
      <w:r w:rsidR="000147C5" w:rsidRPr="005B2183">
        <w:t>.</w:t>
      </w:r>
    </w:p>
    <w:p w:rsidR="000147C5" w:rsidRPr="000147C5" w:rsidRDefault="000147C5" w:rsidP="00455F55">
      <w:pPr>
        <w:pStyle w:val="a5"/>
        <w:numPr>
          <w:ilvl w:val="0"/>
          <w:numId w:val="6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right="-143" w:firstLine="567"/>
        <w:jc w:val="both"/>
        <w:rPr>
          <w:b/>
          <w:i/>
        </w:rPr>
      </w:pPr>
      <w:r w:rsidRPr="005B2183">
        <w:t>Спецификация оборудования с указанием следующей информации:</w:t>
      </w:r>
    </w:p>
    <w:p w:rsidR="000147C5" w:rsidRPr="005B2183" w:rsidRDefault="000147C5" w:rsidP="00455F55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ind w:left="0" w:right="153" w:firstLine="567"/>
        <w:jc w:val="both"/>
        <w:rPr>
          <w:rFonts w:eastAsia="Calibri"/>
          <w:bCs/>
          <w:iCs/>
        </w:rPr>
      </w:pPr>
      <w:r w:rsidRPr="005B2183">
        <w:rPr>
          <w:rFonts w:eastAsia="Calibri"/>
          <w:bCs/>
          <w:iCs/>
        </w:rPr>
        <w:t>в соответствующих полях стоимости затрат без учета НДС;</w:t>
      </w:r>
    </w:p>
    <w:p w:rsidR="000147C5" w:rsidRPr="005B2183" w:rsidRDefault="000147C5" w:rsidP="00455F55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ind w:left="0" w:right="153" w:firstLine="567"/>
        <w:jc w:val="both"/>
        <w:rPr>
          <w:rFonts w:eastAsia="Calibri"/>
          <w:bCs/>
          <w:iCs/>
        </w:rPr>
      </w:pPr>
      <w:r w:rsidRPr="005B2183">
        <w:rPr>
          <w:rFonts w:eastAsia="Calibri"/>
          <w:bCs/>
          <w:iCs/>
        </w:rPr>
        <w:t>количество;</w:t>
      </w:r>
    </w:p>
    <w:p w:rsidR="000147C5" w:rsidRPr="005B2183" w:rsidRDefault="000147C5" w:rsidP="00455F55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ind w:left="0" w:right="153" w:firstLine="567"/>
        <w:jc w:val="both"/>
        <w:rPr>
          <w:rFonts w:eastAsia="Calibri"/>
          <w:bCs/>
          <w:iCs/>
        </w:rPr>
      </w:pPr>
      <w:r w:rsidRPr="005B2183">
        <w:rPr>
          <w:rFonts w:eastAsia="Calibri"/>
          <w:bCs/>
          <w:iCs/>
        </w:rPr>
        <w:t>ставка НДС.</w:t>
      </w:r>
    </w:p>
    <w:p w:rsidR="000147C5" w:rsidRPr="00455F55" w:rsidRDefault="000147C5" w:rsidP="00455F55">
      <w:pPr>
        <w:tabs>
          <w:tab w:val="left" w:pos="851"/>
        </w:tabs>
        <w:overflowPunct w:val="0"/>
        <w:autoSpaceDE w:val="0"/>
        <w:autoSpaceDN w:val="0"/>
        <w:ind w:right="153" w:firstLine="567"/>
        <w:jc w:val="both"/>
        <w:rPr>
          <w:rFonts w:eastAsia="Calibri"/>
          <w:bCs/>
          <w:iCs/>
        </w:rPr>
      </w:pPr>
      <w:r w:rsidRPr="005B2183">
        <w:t>Указанные планируемые даты (сроки) должны быть рассчитаны исходя из условий закупочной документации и пла</w:t>
      </w:r>
      <w:bookmarkStart w:id="1" w:name="_GoBack"/>
      <w:bookmarkEnd w:id="1"/>
      <w:r w:rsidRPr="005B2183">
        <w:t>нируемой даты заключения договора, указанной на ЭТП.</w:t>
      </w:r>
    </w:p>
    <w:sectPr w:rsidR="000147C5" w:rsidRPr="00455F55" w:rsidSect="0094790C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457"/>
    <w:multiLevelType w:val="hybridMultilevel"/>
    <w:tmpl w:val="249CE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E2082"/>
    <w:multiLevelType w:val="hybridMultilevel"/>
    <w:tmpl w:val="8A1CE33A"/>
    <w:lvl w:ilvl="0" w:tplc="75CEE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7F21F1"/>
    <w:multiLevelType w:val="hybridMultilevel"/>
    <w:tmpl w:val="8436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20F"/>
    <w:multiLevelType w:val="hybridMultilevel"/>
    <w:tmpl w:val="7B60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7082D"/>
    <w:multiLevelType w:val="hybridMultilevel"/>
    <w:tmpl w:val="5BA8923A"/>
    <w:lvl w:ilvl="0" w:tplc="301AB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854"/>
    <w:multiLevelType w:val="hybridMultilevel"/>
    <w:tmpl w:val="8E98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389D"/>
    <w:multiLevelType w:val="hybridMultilevel"/>
    <w:tmpl w:val="53E27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422D"/>
    <w:multiLevelType w:val="hybridMultilevel"/>
    <w:tmpl w:val="CFCA1E7C"/>
    <w:lvl w:ilvl="0" w:tplc="2DE61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8A549C"/>
    <w:multiLevelType w:val="hybridMultilevel"/>
    <w:tmpl w:val="7598BD46"/>
    <w:lvl w:ilvl="0" w:tplc="2DE617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B4"/>
    <w:rsid w:val="000147C5"/>
    <w:rsid w:val="00077360"/>
    <w:rsid w:val="00271FB4"/>
    <w:rsid w:val="00455F55"/>
    <w:rsid w:val="0054689B"/>
    <w:rsid w:val="006305FE"/>
    <w:rsid w:val="006C3133"/>
    <w:rsid w:val="00755E12"/>
    <w:rsid w:val="007D4265"/>
    <w:rsid w:val="00932302"/>
    <w:rsid w:val="0094790C"/>
    <w:rsid w:val="00A25C2B"/>
    <w:rsid w:val="00B10F72"/>
    <w:rsid w:val="00B72249"/>
    <w:rsid w:val="00C02EC0"/>
    <w:rsid w:val="00C14BB4"/>
    <w:rsid w:val="00C55B90"/>
    <w:rsid w:val="00D74E23"/>
    <w:rsid w:val="00D8133B"/>
    <w:rsid w:val="00F10C4B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933"/>
  <w15:docId w15:val="{232E702A-56EC-4D82-A698-0649D642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rsid w:val="00271FB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Кирюхина Татьяна Владимировна</dc:creator>
  <cp:lastModifiedBy>Маслова Ольга Васильевна</cp:lastModifiedBy>
  <cp:revision>2</cp:revision>
  <cp:lastPrinted>2018-04-09T13:37:00Z</cp:lastPrinted>
  <dcterms:created xsi:type="dcterms:W3CDTF">2022-06-14T09:30:00Z</dcterms:created>
  <dcterms:modified xsi:type="dcterms:W3CDTF">2022-06-14T09:30:00Z</dcterms:modified>
</cp:coreProperties>
</file>