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4F" w:rsidRPr="003B5685" w:rsidRDefault="00D67B4F" w:rsidP="00D67B4F">
      <w:pPr>
        <w:spacing w:after="0"/>
        <w:rPr>
          <w:rFonts w:ascii="Times New Roman" w:hAnsi="Times New Roman"/>
          <w:sz w:val="16"/>
          <w:szCs w:val="16"/>
        </w:rPr>
      </w:pPr>
      <w:r w:rsidRPr="003B5685">
        <w:rPr>
          <w:rFonts w:ascii="Times New Roman" w:hAnsi="Times New Roman"/>
          <w:noProof/>
          <w:sz w:val="28"/>
          <w:szCs w:val="28"/>
        </w:rPr>
        <w:t xml:space="preserve">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4BD30A1" wp14:editId="38FF5067">
            <wp:extent cx="16002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709"/>
        <w:gridCol w:w="1559"/>
        <w:gridCol w:w="317"/>
        <w:gridCol w:w="1667"/>
        <w:gridCol w:w="142"/>
      </w:tblGrid>
      <w:tr w:rsidR="00D67B4F" w:rsidRPr="003B5685" w:rsidTr="00A9487B">
        <w:trPr>
          <w:trHeight w:val="1513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B4F" w:rsidRPr="003B5685" w:rsidRDefault="00D67B4F" w:rsidP="00A9487B">
            <w:pPr>
              <w:spacing w:after="0" w:line="140" w:lineRule="atLeast"/>
              <w:ind w:left="-2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685">
              <w:rPr>
                <w:rFonts w:ascii="Times New Roman" w:hAnsi="Times New Roman"/>
                <w:sz w:val="26"/>
                <w:szCs w:val="26"/>
              </w:rPr>
              <w:t>Акционерное общество</w:t>
            </w:r>
          </w:p>
          <w:p w:rsidR="00D67B4F" w:rsidRPr="003B5685" w:rsidRDefault="00D67B4F" w:rsidP="00A9487B">
            <w:pPr>
              <w:spacing w:after="0" w:line="140" w:lineRule="atLeast"/>
              <w:ind w:left="-25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5685">
              <w:rPr>
                <w:rFonts w:ascii="Times New Roman" w:hAnsi="Times New Roman"/>
                <w:b/>
                <w:sz w:val="26"/>
                <w:szCs w:val="26"/>
              </w:rPr>
              <w:t>«АДМИРАЛТЕЙСКИЕ ВЕРФИ»</w:t>
            </w:r>
          </w:p>
          <w:p w:rsidR="00D67B4F" w:rsidRPr="003B5685" w:rsidRDefault="00D67B4F" w:rsidP="00A9487B">
            <w:pPr>
              <w:spacing w:after="0"/>
              <w:ind w:left="-250"/>
              <w:rPr>
                <w:rFonts w:ascii="Times New Roman" w:hAnsi="Times New Roman"/>
                <w:sz w:val="24"/>
                <w:szCs w:val="24"/>
              </w:rPr>
            </w:pPr>
            <w:r w:rsidRPr="003B5685">
              <w:rPr>
                <w:rFonts w:ascii="Times New Roman" w:hAnsi="Times New Roman"/>
                <w:b/>
                <w:sz w:val="26"/>
                <w:szCs w:val="26"/>
              </w:rPr>
              <w:t xml:space="preserve">        </w:t>
            </w:r>
            <w:r w:rsidRPr="003B5685">
              <w:rPr>
                <w:rFonts w:ascii="Times New Roman" w:hAnsi="Times New Roman"/>
                <w:sz w:val="24"/>
                <w:szCs w:val="24"/>
              </w:rPr>
              <w:t>(АО «АДМИРАЛТЕЙСКИЕ ВЕРФИ»)</w:t>
            </w:r>
          </w:p>
          <w:p w:rsidR="00D67B4F" w:rsidRPr="003B5685" w:rsidRDefault="00D67B4F" w:rsidP="00A9487B">
            <w:pPr>
              <w:spacing w:after="0"/>
              <w:ind w:left="-25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5685">
              <w:rPr>
                <w:rFonts w:ascii="Times New Roman" w:hAnsi="Times New Roman"/>
                <w:sz w:val="14"/>
                <w:szCs w:val="14"/>
              </w:rPr>
              <w:t>наб. реки Фонтанки, 203, Санкт-Петербург, 190121</w:t>
            </w:r>
          </w:p>
          <w:p w:rsidR="00D67B4F" w:rsidRPr="003B5685" w:rsidRDefault="00D67B4F" w:rsidP="00A9487B">
            <w:pPr>
              <w:spacing w:after="0"/>
              <w:ind w:left="-25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568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Pr="003B5685">
              <w:rPr>
                <w:rFonts w:ascii="Times New Roman" w:hAnsi="Times New Roman"/>
                <w:sz w:val="14"/>
                <w:szCs w:val="14"/>
              </w:rPr>
              <w:t>тел.(</w:t>
            </w:r>
            <w:proofErr w:type="gramEnd"/>
            <w:r w:rsidRPr="003B5685">
              <w:rPr>
                <w:rFonts w:ascii="Times New Roman" w:hAnsi="Times New Roman"/>
                <w:sz w:val="14"/>
                <w:szCs w:val="14"/>
              </w:rPr>
              <w:t xml:space="preserve">812)494-79-43, факс(812)571-13-71; </w:t>
            </w:r>
            <w:r w:rsidRPr="003B5685">
              <w:rPr>
                <w:rFonts w:ascii="Times New Roman" w:hAnsi="Times New Roman"/>
                <w:sz w:val="14"/>
                <w:szCs w:val="14"/>
                <w:lang w:val="en-US"/>
              </w:rPr>
              <w:t>info</w:t>
            </w:r>
            <w:r w:rsidRPr="003B5685">
              <w:rPr>
                <w:rFonts w:ascii="Times New Roman" w:hAnsi="Times New Roman"/>
                <w:sz w:val="14"/>
                <w:szCs w:val="14"/>
              </w:rPr>
              <w:t>@</w:t>
            </w:r>
            <w:proofErr w:type="spellStart"/>
            <w:r w:rsidRPr="003B5685">
              <w:rPr>
                <w:rFonts w:ascii="Times New Roman" w:hAnsi="Times New Roman"/>
                <w:sz w:val="14"/>
                <w:szCs w:val="14"/>
                <w:lang w:val="en-US"/>
              </w:rPr>
              <w:t>ashipyards</w:t>
            </w:r>
            <w:proofErr w:type="spellEnd"/>
            <w:r w:rsidRPr="003B5685">
              <w:rPr>
                <w:rFonts w:ascii="Times New Roman" w:hAnsi="Times New Roman"/>
                <w:sz w:val="14"/>
                <w:szCs w:val="14"/>
              </w:rPr>
              <w:t>.</w:t>
            </w:r>
            <w:r w:rsidRPr="003B5685">
              <w:rPr>
                <w:rFonts w:ascii="Times New Roman" w:hAnsi="Times New Roman"/>
                <w:sz w:val="14"/>
                <w:szCs w:val="14"/>
                <w:lang w:val="en-US"/>
              </w:rPr>
              <w:t>com</w:t>
            </w:r>
          </w:p>
          <w:p w:rsidR="00D67B4F" w:rsidRPr="003B5685" w:rsidRDefault="00D67B4F" w:rsidP="00A9487B">
            <w:pPr>
              <w:spacing w:after="0"/>
              <w:ind w:left="-250"/>
              <w:jc w:val="center"/>
              <w:rPr>
                <w:rFonts w:ascii="Times New Roman" w:hAnsi="Times New Roman"/>
              </w:rPr>
            </w:pPr>
            <w:r w:rsidRPr="003B5685">
              <w:rPr>
                <w:rFonts w:ascii="Times New Roman" w:hAnsi="Times New Roman"/>
                <w:sz w:val="14"/>
                <w:szCs w:val="14"/>
              </w:rPr>
              <w:t>ИНН/КПП 7839395419/997450001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ОКПО 07521952</w:t>
            </w:r>
            <w:r w:rsidRPr="003B5685">
              <w:rPr>
                <w:rFonts w:ascii="Times New Roman" w:hAnsi="Times New Roman"/>
                <w:sz w:val="14"/>
                <w:szCs w:val="14"/>
              </w:rPr>
              <w:t xml:space="preserve"> ОГРН 1089848054339</w:t>
            </w:r>
          </w:p>
        </w:tc>
      </w:tr>
      <w:tr w:rsidR="00D67B4F" w:rsidRPr="003B5685" w:rsidTr="00A9487B">
        <w:trPr>
          <w:gridBefore w:val="1"/>
          <w:gridAfter w:val="1"/>
          <w:wBefore w:w="284" w:type="dxa"/>
          <w:wAfter w:w="142" w:type="dxa"/>
          <w:trHeight w:val="3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7B4F" w:rsidRPr="003B5685" w:rsidRDefault="00D67B4F" w:rsidP="00A9487B">
            <w:pPr>
              <w:spacing w:after="0" w:line="140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B568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7B4F" w:rsidRPr="003B5685" w:rsidRDefault="00D67B4F" w:rsidP="00A9487B">
            <w:pPr>
              <w:spacing w:after="0" w:line="140" w:lineRule="atLeast"/>
              <w:ind w:left="-2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50/А/10 -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7B4F" w:rsidRPr="003B5685" w:rsidRDefault="00D67B4F" w:rsidP="00A9487B">
            <w:pPr>
              <w:spacing w:after="0" w:line="140" w:lineRule="atLeast"/>
              <w:ind w:left="-391" w:right="-108" w:firstLine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85">
              <w:rPr>
                <w:rFonts w:ascii="Times New Roman" w:hAnsi="Times New Roman"/>
                <w:sz w:val="24"/>
                <w:szCs w:val="24"/>
              </w:rPr>
              <w:t xml:space="preserve">    от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7B4F" w:rsidRPr="003B5685" w:rsidRDefault="00D67B4F" w:rsidP="00A9487B">
            <w:pPr>
              <w:spacing w:after="0" w:line="140" w:lineRule="atLeast"/>
              <w:ind w:left="-2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8"/>
              </w:rPr>
              <w:t xml:space="preserve">  01.04.2022г.</w:t>
            </w:r>
          </w:p>
        </w:tc>
      </w:tr>
      <w:tr w:rsidR="00D67B4F" w:rsidRPr="003B5685" w:rsidTr="00A9487B">
        <w:trPr>
          <w:gridBefore w:val="1"/>
          <w:gridAfter w:val="1"/>
          <w:wBefore w:w="284" w:type="dxa"/>
          <w:wAfter w:w="142" w:type="dxa"/>
          <w:trHeight w:val="28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7B4F" w:rsidRPr="003B5685" w:rsidRDefault="00D67B4F" w:rsidP="00A9487B">
            <w:pPr>
              <w:spacing w:after="0" w:line="140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B5685">
              <w:rPr>
                <w:rFonts w:ascii="Times New Roman" w:hAnsi="Times New Roman"/>
                <w:sz w:val="24"/>
                <w:szCs w:val="24"/>
              </w:rPr>
              <w:t>на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7B4F" w:rsidRPr="003B5685" w:rsidRDefault="00D67B4F" w:rsidP="00A9487B">
            <w:pPr>
              <w:spacing w:after="0" w:line="140" w:lineRule="atLeast"/>
              <w:ind w:left="-25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7B4F" w:rsidRPr="003B5685" w:rsidRDefault="00D67B4F" w:rsidP="00A9487B">
            <w:pPr>
              <w:spacing w:after="0" w:line="140" w:lineRule="atLeast"/>
              <w:ind w:left="-250" w:right="-108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7B4F" w:rsidRPr="003B5685" w:rsidRDefault="00D67B4F" w:rsidP="00A9487B">
            <w:pPr>
              <w:spacing w:after="0" w:line="140" w:lineRule="atLeast"/>
              <w:ind w:left="-25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67B4F" w:rsidRPr="003B5685" w:rsidRDefault="00D67B4F" w:rsidP="00D67B4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67B4F" w:rsidRDefault="00D67B4F" w:rsidP="00D67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Предлагаем Вам принять участие в процедуре маркетингового исследования по определению исполнителя на право заключения договора поставки  запасных частей для </w:t>
      </w:r>
      <w:proofErr w:type="spellStart"/>
      <w:r>
        <w:rPr>
          <w:rFonts w:ascii="Times New Roman" w:hAnsi="Times New Roman"/>
          <w:sz w:val="24"/>
          <w:szCs w:val="24"/>
        </w:rPr>
        <w:t>винторулевых</w:t>
      </w:r>
      <w:proofErr w:type="spellEnd"/>
      <w:r>
        <w:rPr>
          <w:rFonts w:ascii="Times New Roman" w:hAnsi="Times New Roman"/>
          <w:sz w:val="24"/>
          <w:szCs w:val="24"/>
        </w:rPr>
        <w:t xml:space="preserve"> колонок </w:t>
      </w:r>
      <w:proofErr w:type="spellStart"/>
      <w:r>
        <w:rPr>
          <w:rFonts w:ascii="Times New Roman" w:hAnsi="Times New Roman"/>
          <w:sz w:val="24"/>
          <w:szCs w:val="24"/>
        </w:rPr>
        <w:t>Steerprop</w:t>
      </w:r>
      <w:proofErr w:type="spellEnd"/>
      <w:r>
        <w:rPr>
          <w:rFonts w:ascii="Times New Roman" w:hAnsi="Times New Roman"/>
          <w:sz w:val="24"/>
          <w:szCs w:val="24"/>
        </w:rPr>
        <w:t xml:space="preserve"> 120 CRP ECO, производства компании </w:t>
      </w:r>
      <w:proofErr w:type="spellStart"/>
      <w:r>
        <w:rPr>
          <w:rFonts w:ascii="Times New Roman" w:hAnsi="Times New Roman"/>
          <w:sz w:val="24"/>
          <w:szCs w:val="24"/>
        </w:rPr>
        <w:t>Steerprop</w:t>
      </w:r>
      <w:proofErr w:type="spellEnd"/>
      <w:r>
        <w:rPr>
          <w:rFonts w:ascii="Times New Roman" w:hAnsi="Times New Roman"/>
          <w:sz w:val="24"/>
          <w:szCs w:val="24"/>
        </w:rPr>
        <w:t xml:space="preserve"> LTD (Финляндия)для проведения докового ремонта при проведении сервисного обслуживания в 2022 году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согласно следующей номенклатуры :</w:t>
      </w:r>
    </w:p>
    <w:tbl>
      <w:tblPr>
        <w:tblW w:w="1084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6382"/>
        <w:gridCol w:w="1318"/>
        <w:gridCol w:w="1092"/>
        <w:gridCol w:w="1240"/>
      </w:tblGrid>
      <w:tr w:rsidR="00D67B4F" w:rsidRPr="006B1DEF" w:rsidTr="00A9487B">
        <w:trPr>
          <w:trHeight w:val="284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B4F" w:rsidRPr="00D67B4F" w:rsidRDefault="00D67B4F" w:rsidP="00A948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6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B4F" w:rsidRPr="00D67B4F" w:rsidRDefault="00D67B4F" w:rsidP="00A948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 xml:space="preserve">Наименование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4F" w:rsidRPr="00D67B4F" w:rsidRDefault="00D67B4F" w:rsidP="00A948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Артикул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B4F" w:rsidRPr="00D67B4F" w:rsidRDefault="00D67B4F" w:rsidP="00A948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Ед. изм.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B4F" w:rsidRPr="00D67B4F" w:rsidRDefault="00D67B4F" w:rsidP="00A948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Кол-во</w:t>
            </w:r>
          </w:p>
        </w:tc>
      </w:tr>
      <w:tr w:rsidR="00D67B4F" w:rsidRPr="006B1DEF" w:rsidTr="00A9487B">
        <w:trPr>
          <w:trHeight w:val="284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4F" w:rsidRPr="00D67B4F" w:rsidRDefault="00D67B4F" w:rsidP="00A948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4F" w:rsidRPr="00D67B4F" w:rsidRDefault="00D67B4F" w:rsidP="00A9487B">
            <w:pPr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 xml:space="preserve">Сектор защитный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4F" w:rsidRPr="00D67B4F" w:rsidRDefault="00D67B4F" w:rsidP="00A948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007005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4F" w:rsidRPr="00D67B4F" w:rsidRDefault="00D67B4F" w:rsidP="00A948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4F" w:rsidRPr="00D67B4F" w:rsidRDefault="00D67B4F" w:rsidP="00A948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12</w:t>
            </w:r>
          </w:p>
        </w:tc>
      </w:tr>
      <w:tr w:rsidR="00D67B4F" w:rsidRPr="006B1DEF" w:rsidTr="00A9487B">
        <w:trPr>
          <w:trHeight w:val="284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4F" w:rsidRPr="00D67B4F" w:rsidRDefault="00D67B4F" w:rsidP="00A948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4F" w:rsidRPr="00D67B4F" w:rsidRDefault="00D67B4F" w:rsidP="00A9487B">
            <w:pPr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Винт с внутренним шестигранником DIN912-M12x100-A4-80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4F" w:rsidRPr="00D67B4F" w:rsidRDefault="00D67B4F" w:rsidP="00A948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007451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4F" w:rsidRPr="00D67B4F" w:rsidRDefault="00D67B4F" w:rsidP="00A948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4F" w:rsidRPr="00D67B4F" w:rsidRDefault="00D67B4F" w:rsidP="00A948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148</w:t>
            </w:r>
          </w:p>
        </w:tc>
      </w:tr>
      <w:tr w:rsidR="00D67B4F" w:rsidRPr="006B1DEF" w:rsidTr="00A9487B">
        <w:trPr>
          <w:trHeight w:val="284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4F" w:rsidRPr="00D67B4F" w:rsidRDefault="00D67B4F" w:rsidP="00A948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4F" w:rsidRPr="00D67B4F" w:rsidRDefault="00D67B4F" w:rsidP="00A9487B">
            <w:pPr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 xml:space="preserve">Изолирующее кольцо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4F" w:rsidRPr="00D67B4F" w:rsidRDefault="00D67B4F" w:rsidP="00A948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006865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4F" w:rsidRPr="00D67B4F" w:rsidRDefault="00D67B4F" w:rsidP="00A948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4F" w:rsidRPr="00D67B4F" w:rsidRDefault="00D67B4F" w:rsidP="00A948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D67B4F" w:rsidRPr="006B1DEF" w:rsidTr="00A9487B">
        <w:trPr>
          <w:trHeight w:val="284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4F" w:rsidRPr="00D67B4F" w:rsidRDefault="00D67B4F" w:rsidP="00A948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4F" w:rsidRPr="00D67B4F" w:rsidRDefault="00D67B4F" w:rsidP="00A9487B">
            <w:pPr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Винт с внутренним шестигранником DIN912-M20x180-A4-80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4F" w:rsidRPr="00D67B4F" w:rsidRDefault="00D67B4F" w:rsidP="00A948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007493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4F" w:rsidRPr="00D67B4F" w:rsidRDefault="00D67B4F" w:rsidP="00A948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4F" w:rsidRPr="00D67B4F" w:rsidRDefault="00D67B4F" w:rsidP="00A948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25</w:t>
            </w:r>
          </w:p>
        </w:tc>
      </w:tr>
      <w:tr w:rsidR="00D67B4F" w:rsidRPr="006B1DEF" w:rsidTr="00A9487B">
        <w:trPr>
          <w:trHeight w:val="284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4F" w:rsidRPr="00D67B4F" w:rsidRDefault="00D67B4F" w:rsidP="00A948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6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4F" w:rsidRPr="00D67B4F" w:rsidRDefault="00D67B4F" w:rsidP="00A9487B">
            <w:pPr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 xml:space="preserve">Уплотнение манжетное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4F" w:rsidRPr="00D67B4F" w:rsidRDefault="00D67B4F" w:rsidP="00A948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S001687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4F" w:rsidRPr="00D67B4F" w:rsidRDefault="00D67B4F" w:rsidP="00A948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4F" w:rsidRPr="00D67B4F" w:rsidRDefault="00D67B4F" w:rsidP="00A948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D67B4F" w:rsidRPr="006B1DEF" w:rsidTr="00A9487B">
        <w:trPr>
          <w:trHeight w:val="284"/>
          <w:jc w:val="center"/>
        </w:trPr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4F" w:rsidRPr="00D67B4F" w:rsidRDefault="00D67B4F" w:rsidP="00A948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4F" w:rsidRPr="00D67B4F" w:rsidRDefault="00D67B4F" w:rsidP="00A9487B">
            <w:pPr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Уплотнение манжетное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4F" w:rsidRPr="00D67B4F" w:rsidRDefault="00D67B4F" w:rsidP="00A948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S001688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4F" w:rsidRPr="00D67B4F" w:rsidRDefault="00D67B4F" w:rsidP="00A948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4F" w:rsidRPr="00D67B4F" w:rsidRDefault="00D67B4F" w:rsidP="00A948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D67B4F" w:rsidRPr="006B1DEF" w:rsidTr="00A9487B">
        <w:trPr>
          <w:trHeight w:val="284"/>
          <w:jc w:val="center"/>
        </w:trPr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4F" w:rsidRPr="00D67B4F" w:rsidRDefault="00D67B4F" w:rsidP="00A948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4F" w:rsidRPr="00D67B4F" w:rsidRDefault="00D67B4F" w:rsidP="00A9487B">
            <w:pPr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Кольцо уплотнительное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4F" w:rsidRPr="00D67B4F" w:rsidRDefault="00D67B4F" w:rsidP="00A948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002804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4F" w:rsidRPr="00D67B4F" w:rsidRDefault="00D67B4F" w:rsidP="00A948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4F" w:rsidRPr="00D67B4F" w:rsidRDefault="00D67B4F" w:rsidP="00A948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12</w:t>
            </w:r>
          </w:p>
        </w:tc>
      </w:tr>
      <w:tr w:rsidR="00D67B4F" w:rsidRPr="006B1DEF" w:rsidTr="00A9487B">
        <w:trPr>
          <w:trHeight w:val="284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4F" w:rsidRPr="00D67B4F" w:rsidRDefault="00D67B4F" w:rsidP="00A948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4F" w:rsidRPr="00D67B4F" w:rsidRDefault="00D67B4F" w:rsidP="00A9487B">
            <w:pPr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 xml:space="preserve">Кольцо уплотнительное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4F" w:rsidRPr="00D67B4F" w:rsidRDefault="00D67B4F" w:rsidP="00A948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007415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4F" w:rsidRPr="00D67B4F" w:rsidRDefault="00D67B4F" w:rsidP="00A948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4F" w:rsidRPr="00D67B4F" w:rsidRDefault="00D67B4F" w:rsidP="00A948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D67B4F" w:rsidRPr="006B1DEF" w:rsidTr="00A9487B">
        <w:trPr>
          <w:trHeight w:val="284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4F" w:rsidRPr="00D67B4F" w:rsidRDefault="00D67B4F" w:rsidP="00A948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4F" w:rsidRPr="00D67B4F" w:rsidRDefault="00D67B4F" w:rsidP="00A9487B">
            <w:pPr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Предохранительная муфта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4F" w:rsidRPr="00D67B4F" w:rsidRDefault="00D67B4F" w:rsidP="00A948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007157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4F" w:rsidRPr="00D67B4F" w:rsidRDefault="00D67B4F" w:rsidP="00A948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4F" w:rsidRPr="00D67B4F" w:rsidRDefault="00D67B4F" w:rsidP="00A948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D67B4F" w:rsidRPr="006B1DEF" w:rsidTr="00A9487B">
        <w:trPr>
          <w:trHeight w:val="284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4F" w:rsidRPr="00D67B4F" w:rsidRDefault="00D67B4F" w:rsidP="00A948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4F" w:rsidRPr="00D67B4F" w:rsidRDefault="00D67B4F" w:rsidP="00A9487B">
            <w:pPr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Сальник ТТО Н206 N2 70х110х12 SC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B4F" w:rsidRPr="00D67B4F" w:rsidRDefault="00D67B4F" w:rsidP="00A948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S001764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4F" w:rsidRPr="00D67B4F" w:rsidRDefault="00D67B4F" w:rsidP="00A948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4F" w:rsidRPr="00D67B4F" w:rsidRDefault="00D67B4F" w:rsidP="00A948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D67B4F" w:rsidRPr="006B1DEF" w:rsidTr="00A9487B">
        <w:trPr>
          <w:trHeight w:val="284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4F" w:rsidRPr="00D67B4F" w:rsidRDefault="00D67B4F" w:rsidP="00A948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4F" w:rsidRPr="00D67B4F" w:rsidRDefault="00D67B4F" w:rsidP="00A9487B">
            <w:pPr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Винт с внутренним шестигранником DIN912-M20x140-A4-80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4F" w:rsidRPr="00D67B4F" w:rsidRDefault="00D67B4F" w:rsidP="00A948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4F" w:rsidRPr="00D67B4F" w:rsidRDefault="00D67B4F" w:rsidP="00A948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4F" w:rsidRPr="00D67B4F" w:rsidRDefault="00D67B4F" w:rsidP="00A948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7B4F"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D67B4F" w:rsidRPr="006B1DEF" w:rsidTr="00A9487B">
        <w:trPr>
          <w:trHeight w:val="284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4F" w:rsidRPr="006B1DEF" w:rsidRDefault="00D67B4F" w:rsidP="00A9487B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4F" w:rsidRPr="006B1DEF" w:rsidRDefault="00D67B4F" w:rsidP="00A9487B">
            <w:pPr>
              <w:rPr>
                <w:rFonts w:ascii="Times New Roman" w:hAnsi="Times New Roman"/>
                <w:sz w:val="24"/>
                <w:szCs w:val="24"/>
              </w:rPr>
            </w:pPr>
            <w:r w:rsidRPr="006B1DE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4F" w:rsidRPr="006B1DEF" w:rsidRDefault="00D67B4F" w:rsidP="00A94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4F" w:rsidRPr="006B1DEF" w:rsidRDefault="00D67B4F" w:rsidP="00A94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B4F" w:rsidRPr="006B1DEF" w:rsidRDefault="00D67B4F" w:rsidP="00A94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EF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</w:tr>
    </w:tbl>
    <w:p w:rsidR="00D67B4F" w:rsidRPr="006B1DEF" w:rsidRDefault="00D67B4F" w:rsidP="00D67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1DEF">
        <w:rPr>
          <w:rFonts w:ascii="Times New Roman" w:hAnsi="Times New Roman"/>
          <w:sz w:val="24"/>
          <w:szCs w:val="24"/>
        </w:rPr>
        <w:t xml:space="preserve">количество – </w:t>
      </w:r>
      <w:r>
        <w:rPr>
          <w:rFonts w:ascii="Times New Roman" w:hAnsi="Times New Roman"/>
          <w:sz w:val="24"/>
          <w:szCs w:val="24"/>
        </w:rPr>
        <w:t xml:space="preserve">239 </w:t>
      </w:r>
      <w:r w:rsidRPr="006B1DEF">
        <w:rPr>
          <w:rFonts w:ascii="Times New Roman" w:hAnsi="Times New Roman"/>
          <w:sz w:val="24"/>
          <w:szCs w:val="24"/>
        </w:rPr>
        <w:t xml:space="preserve">шт. </w:t>
      </w:r>
    </w:p>
    <w:p w:rsidR="00D67B4F" w:rsidRPr="006B1DEF" w:rsidRDefault="00D67B4F" w:rsidP="00D67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1DEF">
        <w:rPr>
          <w:rFonts w:ascii="Times New Roman" w:hAnsi="Times New Roman"/>
          <w:sz w:val="24"/>
          <w:szCs w:val="24"/>
        </w:rPr>
        <w:t>срок поставки –</w:t>
      </w:r>
      <w:r>
        <w:rPr>
          <w:rFonts w:ascii="Times New Roman" w:hAnsi="Times New Roman"/>
          <w:sz w:val="24"/>
          <w:szCs w:val="24"/>
        </w:rPr>
        <w:t xml:space="preserve"> до </w:t>
      </w:r>
      <w:r w:rsidRPr="006B1DEF">
        <w:rPr>
          <w:rFonts w:ascii="Times New Roman" w:hAnsi="Times New Roman"/>
          <w:sz w:val="24"/>
          <w:szCs w:val="24"/>
        </w:rPr>
        <w:t>август</w:t>
      </w:r>
      <w:r>
        <w:rPr>
          <w:rFonts w:ascii="Times New Roman" w:hAnsi="Times New Roman"/>
          <w:sz w:val="24"/>
          <w:szCs w:val="24"/>
        </w:rPr>
        <w:t>а</w:t>
      </w:r>
      <w:r w:rsidRPr="006B1DEF">
        <w:rPr>
          <w:rFonts w:ascii="Times New Roman" w:hAnsi="Times New Roman"/>
          <w:sz w:val="24"/>
          <w:szCs w:val="24"/>
        </w:rPr>
        <w:t xml:space="preserve"> 2022 года</w:t>
      </w:r>
    </w:p>
    <w:p w:rsidR="00D67B4F" w:rsidRDefault="00D67B4F" w:rsidP="00D67B4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67B4F" w:rsidRDefault="00D67B4F" w:rsidP="00D67B4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67B4F" w:rsidRPr="006B1DEF" w:rsidRDefault="00D67B4F" w:rsidP="00D67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1DEF">
        <w:rPr>
          <w:rFonts w:ascii="Times New Roman" w:hAnsi="Times New Roman"/>
          <w:b/>
          <w:sz w:val="24"/>
          <w:szCs w:val="24"/>
          <w:u w:val="single"/>
        </w:rPr>
        <w:t>Условия поставки товара</w:t>
      </w:r>
      <w:r w:rsidRPr="006B1DEF">
        <w:rPr>
          <w:rFonts w:ascii="Times New Roman" w:hAnsi="Times New Roman"/>
          <w:sz w:val="24"/>
          <w:szCs w:val="24"/>
        </w:rPr>
        <w:t>:</w:t>
      </w:r>
    </w:p>
    <w:p w:rsidR="00D67B4F" w:rsidRDefault="00D67B4F" w:rsidP="00D67B4F">
      <w:pPr>
        <w:spacing w:after="0" w:line="360" w:lineRule="auto"/>
        <w:jc w:val="both"/>
        <w:rPr>
          <w:rStyle w:val="a3"/>
          <w:rFonts w:ascii="Times New Roman" w:hAnsi="Times New Roman"/>
          <w:i w:val="0"/>
          <w:iCs w:val="0"/>
        </w:rPr>
      </w:pPr>
      <w:r w:rsidRPr="00074126">
        <w:rPr>
          <w:rStyle w:val="a3"/>
          <w:rFonts w:ascii="Times New Roman" w:hAnsi="Times New Roman"/>
        </w:rPr>
        <w:lastRenderedPageBreak/>
        <w:t>доставка на склад АО «Адмиралтейские верфи» по адресу: 198035, г. Санкт-Петербург, ул. Шотландская, д. 10;</w:t>
      </w:r>
    </w:p>
    <w:p w:rsidR="00D67B4F" w:rsidRPr="006B1DEF" w:rsidRDefault="00D67B4F" w:rsidP="00D67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1DEF">
        <w:rPr>
          <w:rFonts w:ascii="Times New Roman" w:hAnsi="Times New Roman"/>
          <w:sz w:val="24"/>
          <w:szCs w:val="24"/>
        </w:rPr>
        <w:t xml:space="preserve">необходимо предоставление документов, подтверждающих происхождение товара, а </w:t>
      </w:r>
      <w:proofErr w:type="gramStart"/>
      <w:r w:rsidRPr="006B1DEF">
        <w:rPr>
          <w:rFonts w:ascii="Times New Roman" w:hAnsi="Times New Roman"/>
          <w:sz w:val="24"/>
          <w:szCs w:val="24"/>
        </w:rPr>
        <w:t>так же</w:t>
      </w:r>
      <w:proofErr w:type="gramEnd"/>
      <w:r w:rsidRPr="006B1DEF">
        <w:rPr>
          <w:rFonts w:ascii="Times New Roman" w:hAnsi="Times New Roman"/>
          <w:sz w:val="24"/>
          <w:szCs w:val="24"/>
        </w:rPr>
        <w:t xml:space="preserve"> копии ГТД (наличие паспортов качества, заверенных подписью руководителя и печатью организации – поставщика – обязательно).</w:t>
      </w:r>
    </w:p>
    <w:p w:rsidR="00D67B4F" w:rsidRDefault="00D67B4F" w:rsidP="00D67B4F">
      <w:pPr>
        <w:spacing w:after="0" w:line="360" w:lineRule="auto"/>
        <w:jc w:val="both"/>
        <w:rPr>
          <w:rStyle w:val="a3"/>
          <w:rFonts w:ascii="Times New Roman" w:hAnsi="Times New Roman"/>
          <w:b/>
          <w:i w:val="0"/>
          <w:iCs w:val="0"/>
          <w:u w:val="single"/>
        </w:rPr>
      </w:pPr>
      <w:r w:rsidRPr="009858F3">
        <w:rPr>
          <w:rStyle w:val="a3"/>
          <w:rFonts w:ascii="Times New Roman" w:hAnsi="Times New Roman"/>
          <w:b/>
          <w:u w:val="single"/>
        </w:rPr>
        <w:t>Стоимость Договора</w:t>
      </w:r>
      <w:r>
        <w:rPr>
          <w:rStyle w:val="a3"/>
          <w:rFonts w:ascii="Times New Roman" w:hAnsi="Times New Roman"/>
          <w:b/>
          <w:u w:val="single"/>
        </w:rPr>
        <w:t>:</w:t>
      </w:r>
    </w:p>
    <w:p w:rsidR="00D67B4F" w:rsidRPr="009858F3" w:rsidRDefault="00D67B4F" w:rsidP="00D67B4F">
      <w:pPr>
        <w:spacing w:after="0" w:line="360" w:lineRule="auto"/>
        <w:jc w:val="both"/>
        <w:rPr>
          <w:rStyle w:val="a3"/>
          <w:rFonts w:ascii="Times New Roman" w:hAnsi="Times New Roman"/>
          <w:i w:val="0"/>
          <w:iCs w:val="0"/>
        </w:rPr>
      </w:pPr>
      <w:r w:rsidRPr="009858F3">
        <w:rPr>
          <w:rStyle w:val="a3"/>
          <w:rFonts w:ascii="Times New Roman" w:hAnsi="Times New Roman"/>
        </w:rPr>
        <w:t>Стоимость Договора устанавливается в российских рублях</w:t>
      </w:r>
      <w:r>
        <w:rPr>
          <w:rStyle w:val="a3"/>
          <w:rFonts w:ascii="Times New Roman" w:hAnsi="Times New Roman"/>
        </w:rPr>
        <w:t>/ЕВРО</w:t>
      </w:r>
      <w:r w:rsidRPr="009858F3">
        <w:rPr>
          <w:rStyle w:val="a3"/>
          <w:rFonts w:ascii="Times New Roman" w:hAnsi="Times New Roman"/>
        </w:rPr>
        <w:t xml:space="preserve"> и является ориентировочной/фиксированной</w:t>
      </w:r>
    </w:p>
    <w:p w:rsidR="00D67B4F" w:rsidRPr="0097436A" w:rsidRDefault="00D67B4F" w:rsidP="00D67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</w:rPr>
        <w:t>При виде цены «ориентировочная» - с</w:t>
      </w:r>
      <w:r w:rsidRPr="0097436A">
        <w:rPr>
          <w:rStyle w:val="a3"/>
          <w:rFonts w:ascii="Times New Roman" w:hAnsi="Times New Roman"/>
        </w:rPr>
        <w:t>тоимость по Договору подлежит переводу в фиксированную путем оформления Сторонами Протокола согласования фиксированной стоимости на Товар и Дополнительного соглашения;</w:t>
      </w:r>
    </w:p>
    <w:p w:rsidR="00D67B4F" w:rsidRPr="006B1DEF" w:rsidRDefault="00D67B4F" w:rsidP="00D67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Условия оплаты продукции</w:t>
      </w:r>
      <w:r w:rsidRPr="006B1DEF">
        <w:rPr>
          <w:rFonts w:ascii="Times New Roman" w:hAnsi="Times New Roman"/>
          <w:b/>
          <w:sz w:val="24"/>
          <w:szCs w:val="24"/>
          <w:u w:val="single"/>
        </w:rPr>
        <w:t>:</w:t>
      </w:r>
      <w:r w:rsidRPr="006B1D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Оплата </w:t>
      </w:r>
      <w:r w:rsidRPr="006B1DEF">
        <w:rPr>
          <w:rFonts w:ascii="Times New Roman" w:hAnsi="Times New Roman"/>
          <w:sz w:val="24"/>
          <w:szCs w:val="24"/>
        </w:rPr>
        <w:t xml:space="preserve">осуществляется с использованием отдельного счета, открытого в уполномоченном банке, выбранным головным исполнителем, и производится путем перечисления денежных средств на отдельный счет Продавца в следующем порядке и сроки:  </w:t>
      </w:r>
    </w:p>
    <w:p w:rsidR="00D67B4F" w:rsidRPr="006B1DEF" w:rsidRDefault="00D67B4F" w:rsidP="00D67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Аванс </w:t>
      </w:r>
      <w:r w:rsidRPr="006B1DEF">
        <w:rPr>
          <w:rFonts w:ascii="Times New Roman" w:hAnsi="Times New Roman"/>
          <w:sz w:val="24"/>
          <w:szCs w:val="24"/>
        </w:rPr>
        <w:t>40% от стоимости, указанной в Протоколе согласования ориентировочной/фиксированной стоимости на Товар – авансовый платеж в течение 20 (</w:t>
      </w:r>
      <w:r>
        <w:rPr>
          <w:rFonts w:ascii="Times New Roman" w:hAnsi="Times New Roman"/>
          <w:sz w:val="24"/>
          <w:szCs w:val="24"/>
        </w:rPr>
        <w:t>двадцати</w:t>
      </w:r>
      <w:r w:rsidRPr="006B1DEF">
        <w:rPr>
          <w:rFonts w:ascii="Times New Roman" w:hAnsi="Times New Roman"/>
          <w:sz w:val="24"/>
          <w:szCs w:val="24"/>
        </w:rPr>
        <w:t>) рабочих дней от даты счета Продавца, выставляемого после подписания Договора.</w:t>
      </w:r>
    </w:p>
    <w:p w:rsidR="00D67B4F" w:rsidRPr="006B1DEF" w:rsidRDefault="00D67B4F" w:rsidP="00D67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B1DEF">
        <w:rPr>
          <w:rFonts w:ascii="Times New Roman" w:hAnsi="Times New Roman"/>
          <w:sz w:val="24"/>
          <w:szCs w:val="24"/>
        </w:rPr>
        <w:t xml:space="preserve"> Окончательный платеж 60% – платеж после поставки Товара в течение 20 (</w:t>
      </w:r>
      <w:r>
        <w:rPr>
          <w:rFonts w:ascii="Times New Roman" w:hAnsi="Times New Roman"/>
          <w:sz w:val="24"/>
          <w:szCs w:val="24"/>
        </w:rPr>
        <w:t>двадцати</w:t>
      </w:r>
      <w:r w:rsidRPr="006B1DEF">
        <w:rPr>
          <w:rFonts w:ascii="Times New Roman" w:hAnsi="Times New Roman"/>
          <w:sz w:val="24"/>
          <w:szCs w:val="24"/>
        </w:rPr>
        <w:t>) рабочих дней от даты счета Продавца, выставляемого после подписания дополнительного соглашения и Протокола согласования фиксированной стоимости на Товар.</w:t>
      </w:r>
    </w:p>
    <w:p w:rsidR="00D67B4F" w:rsidRPr="006B1DEF" w:rsidRDefault="00D67B4F" w:rsidP="00D67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B1DEF">
        <w:rPr>
          <w:rFonts w:ascii="Times New Roman" w:hAnsi="Times New Roman"/>
          <w:sz w:val="24"/>
          <w:szCs w:val="24"/>
        </w:rPr>
        <w:t>Для участия в конкурентной процедуре необходимо предоставление следующих документов:</w:t>
      </w:r>
    </w:p>
    <w:p w:rsidR="00D67B4F" w:rsidRPr="006B1DEF" w:rsidRDefault="00D67B4F" w:rsidP="00D67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1DEF">
        <w:rPr>
          <w:rFonts w:ascii="Times New Roman" w:hAnsi="Times New Roman"/>
          <w:sz w:val="24"/>
          <w:szCs w:val="24"/>
        </w:rPr>
        <w:t>-карточка партнёра (форма карточки партнера прилагается);</w:t>
      </w:r>
      <w:r w:rsidRPr="006B1DEF">
        <w:rPr>
          <w:rFonts w:ascii="Times New Roman" w:hAnsi="Times New Roman"/>
          <w:sz w:val="24"/>
          <w:szCs w:val="24"/>
        </w:rPr>
        <w:br/>
        <w:t>-опросный лист (форма листа опроса поставщика по конкурсу прилагается).</w:t>
      </w:r>
      <w:r w:rsidRPr="006B1DEF">
        <w:rPr>
          <w:rFonts w:ascii="Times New Roman" w:hAnsi="Times New Roman"/>
          <w:sz w:val="24"/>
          <w:szCs w:val="24"/>
        </w:rPr>
        <w:br/>
        <w:t>- коммерческое предложение</w:t>
      </w:r>
    </w:p>
    <w:p w:rsidR="00D67B4F" w:rsidRPr="006B1DEF" w:rsidRDefault="00D67B4F" w:rsidP="00D67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1DEF">
        <w:rPr>
          <w:rFonts w:ascii="Times New Roman" w:hAnsi="Times New Roman"/>
          <w:sz w:val="24"/>
          <w:szCs w:val="24"/>
        </w:rPr>
        <w:t xml:space="preserve">   Ответ прошу предоставить в течение 5 (пяти) рабочих дней в форме таблицы предложения поставщиков-претендентов (прилагается)*, приложив необходимые документы, по e-</w:t>
      </w:r>
      <w:proofErr w:type="spellStart"/>
      <w:r w:rsidRPr="006B1DEF">
        <w:rPr>
          <w:rFonts w:ascii="Times New Roman" w:hAnsi="Times New Roman"/>
          <w:sz w:val="24"/>
          <w:szCs w:val="24"/>
        </w:rPr>
        <w:t>mail</w:t>
      </w:r>
      <w:proofErr w:type="spellEnd"/>
      <w:r w:rsidRPr="006B1DEF">
        <w:rPr>
          <w:rFonts w:ascii="Times New Roman" w:hAnsi="Times New Roman"/>
          <w:sz w:val="24"/>
          <w:szCs w:val="24"/>
        </w:rPr>
        <w:t>: zaritovskaia.ia@ashipyards.com</w:t>
      </w:r>
    </w:p>
    <w:p w:rsidR="00D67B4F" w:rsidRPr="003E0817" w:rsidRDefault="00D67B4F" w:rsidP="00D67B4F">
      <w:pPr>
        <w:spacing w:after="0" w:line="360" w:lineRule="auto"/>
        <w:jc w:val="both"/>
        <w:rPr>
          <w:rFonts w:ascii="Times New Roman" w:hAnsi="Times New Roman"/>
          <w:i/>
          <w:sz w:val="24"/>
          <w:szCs w:val="28"/>
        </w:rPr>
      </w:pPr>
      <w:r w:rsidRPr="003E0817">
        <w:rPr>
          <w:rFonts w:ascii="Times New Roman" w:hAnsi="Times New Roman"/>
          <w:i/>
          <w:sz w:val="24"/>
          <w:szCs w:val="28"/>
        </w:rPr>
        <w:t xml:space="preserve">*-необходимо предоставление как подписанного и заверенного печатью предложения, так и файла в формате </w:t>
      </w:r>
      <w:r w:rsidRPr="003E0817">
        <w:rPr>
          <w:rFonts w:ascii="Times New Roman" w:hAnsi="Times New Roman"/>
          <w:i/>
          <w:sz w:val="24"/>
          <w:szCs w:val="28"/>
          <w:lang w:val="en-US"/>
        </w:rPr>
        <w:t>excel</w:t>
      </w:r>
    </w:p>
    <w:p w:rsidR="00877842" w:rsidRDefault="00877842"/>
    <w:sectPr w:rsidR="0087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1C"/>
    <w:rsid w:val="00877842"/>
    <w:rsid w:val="008D71C2"/>
    <w:rsid w:val="009B081C"/>
    <w:rsid w:val="00D6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26FE8-4F3B-4753-BCF4-16843A46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B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rsid w:val="00D67B4F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ЗАРЫТОВСКАЯ ИННА АНДРЕЕВНА</dc:creator>
  <cp:keywords/>
  <dc:description/>
  <cp:lastModifiedBy>ЗАГЛЯДА НАТАЛЬЯ АЛЕКСАНДРОВНА</cp:lastModifiedBy>
  <cp:revision>3</cp:revision>
  <dcterms:created xsi:type="dcterms:W3CDTF">2022-04-01T10:24:00Z</dcterms:created>
  <dcterms:modified xsi:type="dcterms:W3CDTF">2022-04-01T11:25:00Z</dcterms:modified>
</cp:coreProperties>
</file>