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CE34B4" w:rsidRDefault="00CE34B4" w:rsidP="00CC7FD1">
      <w:pPr>
        <w:rPr>
          <w:rFonts w:ascii="Times New Roman" w:eastAsia="Times New Roman" w:hAnsi="Times New Roman" w:cs="Times New Roman"/>
          <w:noProof/>
          <w:sz w:val="28"/>
          <w:szCs w:val="20"/>
          <w:lang w:eastAsia="ru-RU"/>
        </w:rPr>
      </w:pPr>
    </w:p>
    <w:p w:rsidR="00CE34B4" w:rsidRDefault="00CE34B4" w:rsidP="00CC7FD1">
      <w:pPr>
        <w:rPr>
          <w:rFonts w:ascii="Times New Roman" w:eastAsia="Times New Roman" w:hAnsi="Times New Roman" w:cs="Times New Roman"/>
          <w:noProof/>
          <w:sz w:val="28"/>
          <w:szCs w:val="20"/>
          <w:lang w:eastAsia="ru-RU"/>
        </w:rPr>
      </w:pPr>
    </w:p>
    <w:p w:rsidR="00CE34B4" w:rsidRDefault="00CE34B4" w:rsidP="00CC7FD1">
      <w:pPr>
        <w:rPr>
          <w:rFonts w:ascii="Times New Roman" w:eastAsia="Times New Roman" w:hAnsi="Times New Roman" w:cs="Times New Roman"/>
          <w:noProof/>
          <w:sz w:val="28"/>
          <w:szCs w:val="20"/>
          <w:lang w:eastAsia="ru-RU"/>
        </w:rPr>
      </w:pPr>
    </w:p>
    <w:p w:rsidR="00CE34B4" w:rsidRDefault="00CE34B4"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4212BA"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proofErr w:type="spellStart"/>
      <w:r w:rsidR="004212BA">
        <w:rPr>
          <w:b/>
          <w:color w:val="000000"/>
          <w:szCs w:val="28"/>
        </w:rPr>
        <w:t>фотобарабана</w:t>
      </w:r>
      <w:proofErr w:type="spellEnd"/>
      <w:r w:rsidR="004212BA">
        <w:rPr>
          <w:b/>
          <w:color w:val="000000"/>
          <w:szCs w:val="28"/>
        </w:rPr>
        <w:t xml:space="preserve"> и картриджа </w:t>
      </w:r>
      <w:r w:rsidR="004212BA">
        <w:rPr>
          <w:b/>
          <w:color w:val="000000"/>
          <w:szCs w:val="28"/>
          <w:lang w:val="en-US"/>
        </w:rPr>
        <w:t>Pantum</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4212BA" w:rsidRPr="004212BA">
        <w:rPr>
          <w:color w:val="000000"/>
          <w:sz w:val="24"/>
          <w:szCs w:val="24"/>
        </w:rPr>
        <w:t>21</w:t>
      </w:r>
      <w:r w:rsidR="00A51151">
        <w:rPr>
          <w:color w:val="000000"/>
          <w:sz w:val="24"/>
          <w:szCs w:val="24"/>
        </w:rPr>
        <w:t xml:space="preserve">» </w:t>
      </w:r>
      <w:r w:rsidR="004212BA">
        <w:rPr>
          <w:color w:val="000000"/>
          <w:sz w:val="24"/>
          <w:szCs w:val="24"/>
        </w:rPr>
        <w:t>июня</w:t>
      </w:r>
      <w:r w:rsidR="0086786C">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F226EE">
        <w:rPr>
          <w:color w:val="000000"/>
          <w:sz w:val="24"/>
          <w:szCs w:val="24"/>
        </w:rPr>
        <w:t>44</w:t>
      </w:r>
      <w:r w:rsidR="004212BA">
        <w:rPr>
          <w:color w:val="000000"/>
          <w:sz w:val="24"/>
          <w:szCs w:val="24"/>
        </w:rPr>
        <w:t>823</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F226EE"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F226EE" w:rsidRPr="00F226EE" w:rsidRDefault="00F226EE" w:rsidP="005C1656">
            <w:pPr>
              <w:pStyle w:val="a0"/>
              <w:widowControl w:val="0"/>
              <w:numPr>
                <w:ilvl w:val="0"/>
                <w:numId w:val="0"/>
              </w:numPr>
              <w:tabs>
                <w:tab w:val="left" w:pos="708"/>
              </w:tabs>
              <w:spacing w:line="240" w:lineRule="auto"/>
              <w:rPr>
                <w:b/>
                <w:color w:val="000000"/>
                <w:sz w:val="24"/>
                <w:szCs w:val="24"/>
                <w:lang w:eastAsia="en-US"/>
              </w:rPr>
            </w:pPr>
            <w:r w:rsidRPr="00F226EE">
              <w:rPr>
                <w:b/>
                <w:color w:val="000000"/>
                <w:sz w:val="24"/>
                <w:szCs w:val="24"/>
                <w:lang w:val="en-US" w:eastAsia="en-US"/>
              </w:rPr>
              <w:t>VI</w:t>
            </w:r>
            <w:r w:rsidRPr="00F226EE">
              <w:rPr>
                <w:b/>
                <w:color w:val="000000"/>
                <w:sz w:val="24"/>
                <w:szCs w:val="24"/>
                <w:lang w:eastAsia="en-US"/>
              </w:rPr>
              <w:t xml:space="preserve">. Проект договора </w:t>
            </w:r>
            <w:r w:rsidRPr="00F226EE">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F226EE" w:rsidRPr="00FD6CB1" w:rsidRDefault="00F226EE"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F226EE">
        <w:rPr>
          <w:sz w:val="24"/>
          <w:szCs w:val="24"/>
        </w:rPr>
        <w:t>5</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F226EE">
            <w:pPr>
              <w:pStyle w:val="a0"/>
              <w:widowControl w:val="0"/>
              <w:numPr>
                <w:ilvl w:val="0"/>
                <w:numId w:val="0"/>
              </w:numPr>
              <w:tabs>
                <w:tab w:val="left" w:pos="708"/>
              </w:tabs>
              <w:spacing w:line="240" w:lineRule="auto"/>
              <w:jc w:val="left"/>
              <w:rPr>
                <w:sz w:val="24"/>
                <w:szCs w:val="24"/>
                <w:lang w:eastAsia="en-US"/>
              </w:rPr>
            </w:pPr>
            <w:r w:rsidRPr="00F226EE">
              <w:rPr>
                <w:sz w:val="24"/>
                <w:szCs w:val="24"/>
                <w:lang w:eastAsia="en-US"/>
              </w:rPr>
              <w:t>Предлагаемая цена договора, включая НДС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4212BA" w:rsidP="004212BA">
            <w:pPr>
              <w:widowControl w:val="0"/>
              <w:spacing w:after="0" w:line="240" w:lineRule="auto"/>
              <w:jc w:val="both"/>
              <w:rPr>
                <w:rFonts w:ascii="Times New Roman" w:eastAsiaTheme="minorEastAsia" w:hAnsi="Times New Roman" w:cs="Times New Roman"/>
                <w:sz w:val="24"/>
                <w:szCs w:val="24"/>
              </w:rPr>
            </w:pPr>
            <w:r w:rsidRPr="004212BA">
              <w:rPr>
                <w:rFonts w:ascii="Times New Roman" w:hAnsi="Times New Roman" w:cs="Times New Roman"/>
                <w:sz w:val="24"/>
                <w:szCs w:val="24"/>
              </w:rPr>
              <w:t xml:space="preserve">Поставка </w:t>
            </w:r>
            <w:proofErr w:type="spellStart"/>
            <w:r w:rsidRPr="004212BA">
              <w:rPr>
                <w:rFonts w:ascii="Times New Roman" w:hAnsi="Times New Roman" w:cs="Times New Roman"/>
                <w:sz w:val="24"/>
                <w:szCs w:val="24"/>
              </w:rPr>
              <w:t>фотобарабана</w:t>
            </w:r>
            <w:proofErr w:type="spellEnd"/>
            <w:r w:rsidRPr="004212BA">
              <w:rPr>
                <w:rFonts w:ascii="Times New Roman" w:hAnsi="Times New Roman" w:cs="Times New Roman"/>
                <w:sz w:val="24"/>
                <w:szCs w:val="24"/>
              </w:rPr>
              <w:t xml:space="preserve"> и картриджа </w:t>
            </w:r>
            <w:proofErr w:type="spellStart"/>
            <w:r w:rsidRPr="004212BA">
              <w:rPr>
                <w:rFonts w:ascii="Times New Roman" w:hAnsi="Times New Roman" w:cs="Times New Roman"/>
                <w:sz w:val="24"/>
                <w:szCs w:val="24"/>
              </w:rPr>
              <w:t>Pantum</w:t>
            </w:r>
            <w:proofErr w:type="spellEnd"/>
            <w:r w:rsidRPr="004212BA" w:rsidDel="004212BA">
              <w:rPr>
                <w:rFonts w:ascii="Times New Roman" w:hAnsi="Times New Roman" w:cs="Times New Roman"/>
                <w:sz w:val="24"/>
                <w:szCs w:val="24"/>
              </w:rPr>
              <w:t xml:space="preserve"> </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336ED5" w:rsidP="004212B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12BA">
              <w:rPr>
                <w:rFonts w:ascii="Times New Roman" w:eastAsia="Times New Roman" w:hAnsi="Times New Roman" w:cs="Times New Roman"/>
                <w:sz w:val="24"/>
                <w:szCs w:val="24"/>
                <w:lang w:eastAsia="ru-RU"/>
              </w:rPr>
              <w:t> 363 249,20</w:t>
            </w:r>
            <w:r w:rsidR="00FB5FD8">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sidR="004212BA">
              <w:rPr>
                <w:rFonts w:ascii="Times New Roman" w:eastAsia="Times New Roman" w:hAnsi="Times New Roman" w:cs="Times New Roman"/>
                <w:sz w:val="24"/>
                <w:szCs w:val="24"/>
                <w:lang w:eastAsia="ru-RU"/>
              </w:rPr>
              <w:t>1 136 041,00</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F226EE">
              <w:rPr>
                <w:sz w:val="24"/>
                <w:szCs w:val="24"/>
                <w:lang w:eastAsia="en-US"/>
              </w:rPr>
              <w:t xml:space="preserve"> методом сопоставимых рыночных цен</w:t>
            </w:r>
            <w:r w:rsidR="004738C2">
              <w:t xml:space="preserve"> </w:t>
            </w:r>
            <w:r w:rsidR="00BD29F5">
              <w:rPr>
                <w:sz w:val="24"/>
                <w:szCs w:val="24"/>
                <w:lang w:eastAsia="en-US"/>
              </w:rPr>
              <w:t xml:space="preserve">на основании </w:t>
            </w:r>
            <w:r w:rsidR="00F226EE">
              <w:rPr>
                <w:sz w:val="24"/>
                <w:szCs w:val="24"/>
                <w:lang w:eastAsia="en-US"/>
              </w:rPr>
              <w:t xml:space="preserve">среднеарифметического значения </w:t>
            </w:r>
            <w:r w:rsidR="00570FB0">
              <w:rPr>
                <w:sz w:val="24"/>
                <w:szCs w:val="24"/>
                <w:lang w:eastAsia="en-US"/>
              </w:rPr>
              <w:t xml:space="preserve">ценовых предложений </w:t>
            </w:r>
            <w:r w:rsidR="00575320">
              <w:rPr>
                <w:sz w:val="24"/>
                <w:szCs w:val="24"/>
                <w:lang w:eastAsia="en-US"/>
              </w:rPr>
              <w:t>соответствующ</w:t>
            </w:r>
            <w:r w:rsidR="00570FB0">
              <w:rPr>
                <w:sz w:val="24"/>
                <w:szCs w:val="24"/>
                <w:lang w:eastAsia="en-US"/>
              </w:rPr>
              <w:t>их</w:t>
            </w:r>
            <w:r w:rsidR="00575320">
              <w:rPr>
                <w:sz w:val="24"/>
                <w:szCs w:val="24"/>
                <w:lang w:eastAsia="en-US"/>
              </w:rPr>
              <w:t xml:space="preserve">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F226EE" w:rsidP="001E5692">
            <w:pPr>
              <w:pStyle w:val="a0"/>
              <w:widowControl w:val="0"/>
              <w:numPr>
                <w:ilvl w:val="0"/>
                <w:numId w:val="0"/>
              </w:numPr>
              <w:tabs>
                <w:tab w:val="left" w:pos="708"/>
              </w:tabs>
              <w:spacing w:line="240" w:lineRule="auto"/>
              <w:rPr>
                <w:sz w:val="24"/>
                <w:szCs w:val="24"/>
                <w:lang w:eastAsia="en-US"/>
              </w:rPr>
            </w:pPr>
            <w:r>
              <w:rPr>
                <w:rFonts w:eastAsia="Calibri"/>
                <w:sz w:val="24"/>
                <w:szCs w:val="24"/>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CE34B4">
              <w:rPr>
                <w:sz w:val="24"/>
                <w:szCs w:val="24"/>
                <w:lang w:eastAsia="en-US"/>
              </w:rPr>
              <w:t>«</w:t>
            </w:r>
            <w:r w:rsidR="00CE34B4">
              <w:rPr>
                <w:sz w:val="24"/>
                <w:szCs w:val="24"/>
                <w:lang w:eastAsia="en-US"/>
              </w:rPr>
              <w:t>24</w:t>
            </w:r>
            <w:r w:rsidR="00CE34B4">
              <w:rPr>
                <w:sz w:val="24"/>
                <w:szCs w:val="24"/>
                <w:lang w:eastAsia="en-US"/>
              </w:rPr>
              <w:t xml:space="preserve">» </w:t>
            </w:r>
            <w:r w:rsidR="00CE34B4">
              <w:rPr>
                <w:sz w:val="24"/>
                <w:szCs w:val="24"/>
                <w:lang w:eastAsia="en-US"/>
              </w:rPr>
              <w:t>июня</w:t>
            </w:r>
            <w:r w:rsidR="00CE34B4"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CE34B4">
              <w:rPr>
                <w:sz w:val="24"/>
                <w:szCs w:val="24"/>
                <w:lang w:eastAsia="en-US"/>
              </w:rPr>
              <w:t>01</w:t>
            </w:r>
            <w:r w:rsidR="00270E1F" w:rsidRPr="00270E1F">
              <w:rPr>
                <w:sz w:val="24"/>
                <w:szCs w:val="24"/>
                <w:lang w:eastAsia="en-US"/>
              </w:rPr>
              <w:t>»</w:t>
            </w:r>
            <w:r w:rsidR="00022700">
              <w:rPr>
                <w:sz w:val="24"/>
                <w:szCs w:val="24"/>
                <w:lang w:eastAsia="en-US"/>
              </w:rPr>
              <w:t xml:space="preserve"> </w:t>
            </w:r>
            <w:r w:rsidR="00CE34B4">
              <w:rPr>
                <w:sz w:val="24"/>
                <w:szCs w:val="24"/>
                <w:lang w:eastAsia="en-US"/>
              </w:rPr>
              <w:t xml:space="preserve">июля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CE34B4" w:rsidP="00CE34B4">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06</w:t>
            </w:r>
            <w:r w:rsidRPr="00270E1F">
              <w:rPr>
                <w:sz w:val="24"/>
                <w:szCs w:val="24"/>
                <w:lang w:eastAsia="en-US"/>
              </w:rPr>
              <w:t>»</w:t>
            </w:r>
            <w:r>
              <w:rPr>
                <w:sz w:val="24"/>
                <w:szCs w:val="24"/>
                <w:lang w:val="en-US" w:eastAsia="en-US"/>
              </w:rPr>
              <w:t xml:space="preserve"> </w:t>
            </w:r>
            <w:r>
              <w:rPr>
                <w:sz w:val="24"/>
                <w:szCs w:val="24"/>
                <w:lang w:eastAsia="en-US"/>
              </w:rPr>
              <w:t>июля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CE34B4">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CE34B4">
              <w:rPr>
                <w:sz w:val="24"/>
                <w:szCs w:val="24"/>
                <w:lang w:eastAsia="en-US"/>
              </w:rPr>
              <w:t>06</w:t>
            </w:r>
            <w:r w:rsidR="00270E1F" w:rsidRPr="00270E1F">
              <w:rPr>
                <w:sz w:val="24"/>
                <w:szCs w:val="24"/>
                <w:lang w:eastAsia="en-US"/>
              </w:rPr>
              <w:t>»</w:t>
            </w:r>
            <w:r w:rsidR="00F47B8D">
              <w:rPr>
                <w:sz w:val="24"/>
                <w:szCs w:val="24"/>
                <w:lang w:val="en-US" w:eastAsia="en-US"/>
              </w:rPr>
              <w:t xml:space="preserve"> </w:t>
            </w:r>
            <w:r w:rsidR="00CE34B4">
              <w:rPr>
                <w:sz w:val="24"/>
                <w:szCs w:val="24"/>
                <w:lang w:eastAsia="en-US"/>
              </w:rPr>
              <w:t xml:space="preserve">июля </w:t>
            </w:r>
            <w:bookmarkStart w:id="102" w:name="_GoBack"/>
            <w:bookmarkEnd w:id="102"/>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6ED5"/>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12BA"/>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9F75C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E34B4"/>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26EE"/>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3D05-3F1B-4785-AE72-2A6CF5E0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7338</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60</cp:revision>
  <cp:lastPrinted>2022-03-18T13:37:00Z</cp:lastPrinted>
  <dcterms:created xsi:type="dcterms:W3CDTF">2021-08-24T14:37:00Z</dcterms:created>
  <dcterms:modified xsi:type="dcterms:W3CDTF">2022-06-24T11:40:00Z</dcterms:modified>
</cp:coreProperties>
</file>