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5039103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09.10.2017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i.nesterenko@uszo.ru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Нестеренко Ирина Петровна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промзона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30-39-41, info@biyskenergo.ru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Спецодежда корпоративная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257 200,00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112-116/170-176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ЖЕНСКИЙ 96-100/158-164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104-108/194-200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112-116/170-176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112-116/182-188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120-124/170-176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120-124/182-188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128-132/182-188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88-92/170-176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5 200,00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96-100/182-188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МУЖСКОГО ДЛЯ ИТР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96-100/170-176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МУЖСКОГО 112-116/182-188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128-132/194-200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88-92/158-164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88-92/170-176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104-108/182-188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128-132/194-200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96-100/158-164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96-100/170-176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12.4.280-2014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ЖЕНСКИЙ 104-108/170-176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88-92/158-164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96-100/158-164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5 300,00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104-108/170-176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104-108/170-176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88-92/158-164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88-92/158-164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88-92/170-176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февраль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ПРОТИВОКИСЛОТНЫЙ ЖЕНСКИЙ ЛЕТНИЙ (К80) 96-100/170-176 ТР ТС 019/2011, ГОСТ 12.4.251-2013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март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42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ЖЕНСКИЙ 104-108/170-176 ТР ТС 019/2011, ГОСТ 27574-87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112-116/170-176 ТР ТС 019/2011, ГОСТ 27575-87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88-92/182-188 ТР ТС 019/2011, ГОСТ 27575-87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РАБОЧИЙ МУЖСКОЙ 96-100/182-188 ТР ТС 019/2011, ГОСТ 27575-87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1 800,00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КОСТЮМ УТЕПЛЕННЫЙ РАБОЧИЙ МУЖСКОЙ 88-92/182-188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5 000,00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КУРТКА ОТ КОСТЮМА УТЕПЛЕННОГО РАБОЧЕГО ЖЕНСКОГО 112-116/170-176 ТР ТС 019/2011, ГОСТ Р 12.4.236-2011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январь 2018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659322, Россия, Алтайский край, г. Бийск, ул.Михаила Кутузова, 116 АО "Бийскэнерго"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Поставщик обязуется осуществлять поставку продукции, прошедшей обязательную сертификацию или декларирование соответствия в соответствии с действующими требованиями законодательства РФ. Обязательное наличие документов, удостоверяющих качество продукции, а также деклараций и сертификатов соответствия в момент поставки продукции на склад Покупателя. Соответствие заявленному размерному ряду, техническому описанию, прописанному в приложении. Год изготовления продукции не ранее 2016г. Гарантийный срок не менее 12 месяцев с момента ввода в эксплуатацию. Срок поставки 30 дней с момента письменных Заявок Покупателя.  Количество поставляемой продукции может корректироваться Покупателем в зависимости от производственных потребностей. Изменение размерного ряда возможно в пределах одного наименования. Уточненный размерный ряд определяется заявкой покупателя.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расчет, по факту поставки продукции на склад Покупателя в течение 30 дней. Авансирование не предусмотрено, предложения, содержащие аванс не рассматриваются.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расходов на перевозку, страхование, уплату таможенных пошлин, налогов (без учета НДС) и других обязательных платежей.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В случае предложения замены в коммерческом предложении поля "аналог" и "производитель" обязательны для заполнения. Замены рассматриваются в части параметров, не влияющих на основные защитные функции, не противоречащие Типовым нормам выдачи СИЗ, ТР ТС 019/2011, не предоставляющих угрозу жизни и здоровья работников.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да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Для участия в процедуре Участнику необходимо предоставить подробное техническое описание с цветным изображением на предлагаемую продукцию. При подаче коммерческого предложения на ЭТП  необходимо предоставить: инструкцию по эксплуатации изделия, сертификаты соответствия на изделие, для утепленного костюма предоставить протокол о подтверждении теплоизоляционных свойств защитной одежды третьему климатическому поясу. Наименование предлагаемой продукции и производителей должно быть указано в коммерческом предложении.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19.10.17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01.11.2017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P="00A64972" w:rsidRDefault="00B94A5D">
      <w:pPr>
        <w:pStyle w:val="2"/>
      </w:pPr>
      <w:bookmarkStart w:name="smsp_1352" w:id="35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4674F9" w:rsidR="004F4D11" w:rsidP="00A64972" w:rsidRDefault="004F4D11">
      <w:pPr>
        <w:pStyle w:val="3"/>
      </w:pPr>
      <w:bookmarkStart w:name="condition_delivery_time" w:id="39"/>
      <w:r>
        <w:t>П</w:t>
      </w:r>
      <w:r w:rsidRPr="00E11811">
        <w:t xml:space="preserve">ри подаче заявки со сроком </w:t>
      </w:r>
      <w:bookmarkStart w:name="condition_delivery_time_header" w:id="40"/>
      <w:r>
        <w:t>поставки</w:t>
      </w:r>
      <w:bookmarkEnd w:id="40"/>
      <w:r w:rsidRPr="00E11811">
        <w:t xml:space="preserve"> позже срока, требуемого документацией</w:t>
      </w:r>
      <w:r>
        <w:t>;</w:t>
      </w:r>
      <w:bookmarkEnd w:id="39"/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P="00A64972" w:rsidRDefault="00BB2C84">
      <w:pPr>
        <w:pStyle w:val="3"/>
      </w:pPr>
      <w:bookmarkStart w:name="condition_SMSP1" w:id="44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Pr="00971BD8" w:rsidR="00A05C14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w:history="1" r:id="rId12">
        <w:r w:rsidRPr="00971BD8">
          <w:rPr>
            <w:rStyle w:val="a9"/>
            <w:b/>
            <w:color w:val="auto"/>
          </w:rPr>
          <w:t xml:space="preserve">едином реестре </w:t>
        </w:r>
        <w:r w:rsidRPr="00971BD8" w:rsidR="00A05C14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Pr="00085E45" w:rsidR="00085E45">
        <w:t>, если участник является вновь зарегис</w:t>
      </w:r>
      <w:r w:rsidR="00085E45">
        <w:t>трированным индивидуальным пред</w:t>
      </w:r>
      <w:r w:rsidRPr="00085E45" w:rsidR="00085E45">
        <w:t>принимателем или вновь созданным юридическим лицом</w:t>
      </w:r>
      <w:r w:rsidR="00085E45">
        <w:t xml:space="preserve">, </w:t>
      </w:r>
      <w:r w:rsidRPr="00085E45" w:rsidR="00085E45">
        <w:t xml:space="preserve">и данные о нем еще не внесены в </w:t>
      </w:r>
      <w:hyperlink w:history="1" r:id="rId13">
        <w:r w:rsidRPr="00971BD8" w:rsidR="00085E45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BB2C84" w:rsidP="00A64972" w:rsidRDefault="00BB2C84">
      <w:pPr>
        <w:pStyle w:val="3"/>
      </w:pPr>
      <w:bookmarkStart w:name="condition_SMSP2" w:id="45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Pr="00895A59" w:rsidR="006B5BAC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Pr="006B5BAC" w:rsid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w:history="1" r:id="rId14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5"/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895A59" w:rsidP="00A64972" w:rsidRDefault="00895A59">
      <w:pPr>
        <w:pStyle w:val="3"/>
      </w:pPr>
      <w:bookmarkStart w:name="documents_SMSP_declaration" w:id="48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настоящей документации</w:t>
      </w:r>
      <w:r w:rsidR="006B5BAC">
        <w:t xml:space="preserve"> </w:t>
      </w:r>
      <w:r w:rsidRPr="006B5BAC" w:rsid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Pr="006B5BAC" w:rsidR="00DB24BA">
        <w:t xml:space="preserve"> </w:t>
      </w:r>
      <w:r w:rsidRPr="006B5BAC" w:rsidR="006B5BAC">
        <w:t xml:space="preserve">является вновь зарегистрированным ИП или вновь созданным ЮЛ, и данные о нем еще не внесены в </w:t>
      </w:r>
      <w:hyperlink w:history="1" r:id="rId15">
        <w:r w:rsidRPr="00971BD8" w:rsidR="006B5BAC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8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Декларация о принадлежности к СМСП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к лоту 1804 Спецодежда корпоративная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тех.описание спецодежда корпоративная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