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5039217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10.10.2017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1227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e.sokolova@uszo.ru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Соколова Екатерина Анатольевна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Средства гражданской обороны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68 284,43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СЕТКА ОГРАДИТЕЛЬНАЯ 1,2*20М ЯЧЕЙКА 20*20ММ ПОЛИПРОПИЛЕН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1 588,01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 Новосибирск, ул. Доватора, 50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1. Продукция должна быть новой (не бывшей в употреблении до момента ее получения Покупателем/подписания товарной накладной) 2. Соответствие действующим требованиям законодательства РФ. 3. Предоставление сертификатов на изделие в момент поставки. 4. Срок годности (службы)  и/или гарантийный срок хранения Продукции  на момент передачи Покупателю не менее 75 %  от срока, установленного производителем  или соответствующим стандартом. 5. Срок поставки Продукции  - до 15.01.2018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Авансирование не предусмотрено, предложения содержащие аванс не рассматриваются. Оплата в срок не более 30 (тридцати) календарных дней со дня получения Продукции. Предложения содержащие отсрочку более 30 дней, оцениваются по максимально возможному сроку - 30 дней.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учётом расходов на перевозку до места поставки,тару,упаковку,страхование,уплату таможенных пошлин, налогов (без учета НДС) и других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Рассматриваются замены на не уступающие по техническим характеристикам заявленной номенклатуре.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1. В КП указать производителя продукции.  2. Указать количество, предлагаемое к поставке в соответствии с отгрузочными нормами.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18.10.17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26.10.2017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поставки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Телефон доверия АО СИБЭКО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